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朔州市朔城区利民镇人民政府</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1、坚决执行党的路线、方针、政策和国家的法律、法规。执行上级党委、政府的决定和命令以及人民代表大会的决议。贯彻落实区委、区政府的重大决策和重要工作部署。</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2、制定并组织实施本乡镇社会和经济发展规划。预算和管理本行政区域内的经济、教育、科学、文化、卫生、体育事业以及财政、民政、公安、司法、计划生育等综合性工作。</w:t>
      </w:r>
    </w:p>
    <w:p>
      <w:pPr>
        <w:keepNext w:val="0"/>
        <w:keepLines w:val="0"/>
        <w:pageBreakBefore w:val="0"/>
        <w:widowControl w:val="0"/>
        <w:kinsoku/>
        <w:wordWrap/>
        <w:overflowPunct/>
        <w:topLinePunct w:val="0"/>
        <w:autoSpaceDE/>
        <w:autoSpaceDN/>
        <w:bidi w:val="0"/>
        <w:adjustRightInd/>
        <w:snapToGrid/>
        <w:spacing w:line="240" w:lineRule="atLeas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3、按计划组织本级财政收入，完成财政计划，管好财政资金，增强财政实力。</w:t>
      </w:r>
    </w:p>
    <w:p>
      <w:pPr>
        <w:keepNext w:val="0"/>
        <w:keepLines w:val="0"/>
        <w:pageBreakBefore w:val="0"/>
        <w:widowControl w:val="0"/>
        <w:kinsoku/>
        <w:wordWrap/>
        <w:overflowPunct/>
        <w:topLinePunct w:val="0"/>
        <w:autoSpaceDE/>
        <w:autoSpaceDN/>
        <w:bidi w:val="0"/>
        <w:adjustRightInd/>
        <w:snapToGrid/>
        <w:spacing w:line="240" w:lineRule="atLeast"/>
        <w:ind w:left="42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4、向本镇党委、人民代表大会报告工作。组织指导好各业生产和村委会的工作，抓好基层政权建设、乡村建设和精神文明建设，促进各项社会事业的健康发展。</w:t>
      </w:r>
    </w:p>
    <w:p>
      <w:pPr>
        <w:keepNext w:val="0"/>
        <w:keepLines w:val="0"/>
        <w:pageBreakBefore w:val="0"/>
        <w:widowControl w:val="0"/>
        <w:kinsoku/>
        <w:wordWrap/>
        <w:overflowPunct/>
        <w:topLinePunct w:val="0"/>
        <w:autoSpaceDE/>
        <w:autoSpaceDN/>
        <w:bidi w:val="0"/>
        <w:adjustRightInd/>
        <w:snapToGrid/>
        <w:spacing w:line="240" w:lineRule="atLeast"/>
        <w:ind w:left="426"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5、保护社会公民所有的合法财产和劳动群众集体所有财产。维护一切经济单位和个人的正当合法经济权益。保障公民的人身权利、民主权利和其他权利。加强综合治理，处理好各种利益矛</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6、完成上级党委、政府下达的其他各项工作任务。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rPr>
          <w:rFonts w:hint="eastAsia" w:ascii="仿宋" w:hAnsi="仿宋" w:eastAsia="仿宋"/>
          <w:bCs/>
          <w:sz w:val="32"/>
          <w:szCs w:val="32"/>
        </w:rPr>
      </w:pPr>
      <w:r>
        <w:rPr>
          <w:rFonts w:hint="eastAsia" w:ascii="仿宋" w:hAnsi="仿宋" w:eastAsia="仿宋"/>
          <w:bCs/>
          <w:sz w:val="32"/>
          <w:szCs w:val="32"/>
        </w:rPr>
        <w:t>本单位内设7个机构。分别是：</w:t>
      </w:r>
    </w:p>
    <w:p>
      <w:pPr>
        <w:ind w:firstLine="320" w:firstLineChars="100"/>
        <w:rPr>
          <w:rFonts w:hint="eastAsia" w:ascii="仿宋" w:hAnsi="仿宋" w:eastAsia="仿宋"/>
          <w:bCs/>
          <w:sz w:val="32"/>
          <w:szCs w:val="32"/>
        </w:rPr>
      </w:pPr>
      <w:r>
        <w:rPr>
          <w:rFonts w:hint="eastAsia" w:ascii="仿宋" w:hAnsi="仿宋" w:eastAsia="仿宋"/>
          <w:bCs/>
          <w:sz w:val="32"/>
          <w:szCs w:val="32"/>
        </w:rPr>
        <w:t>1、党政综合办公室</w:t>
      </w:r>
    </w:p>
    <w:p>
      <w:pPr>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ascii="仿宋" w:hAnsi="仿宋" w:eastAsia="仿宋" w:cs="仿宋_GB2312"/>
          <w:color w:val="000000"/>
          <w:kern w:val="0"/>
          <w:sz w:val="32"/>
          <w:szCs w:val="32"/>
          <w:shd w:val="clear" w:color="auto" w:fill="FFFFFF"/>
          <w:lang w:bidi="ar"/>
        </w:rPr>
        <w:t>负责</w:t>
      </w:r>
      <w:r>
        <w:rPr>
          <w:rFonts w:hint="eastAsia" w:ascii="仿宋" w:hAnsi="仿宋" w:eastAsia="仿宋" w:cs="仿宋_GB2312"/>
          <w:color w:val="000000"/>
          <w:kern w:val="0"/>
          <w:sz w:val="32"/>
          <w:szCs w:val="32"/>
          <w:shd w:val="clear" w:color="auto" w:fill="FFFFFF"/>
          <w:lang w:bidi="ar"/>
        </w:rPr>
        <w:t>乡</w:t>
      </w:r>
      <w:r>
        <w:rPr>
          <w:rFonts w:ascii="仿宋" w:hAnsi="仿宋" w:eastAsia="仿宋" w:cs="仿宋_GB2312"/>
          <w:color w:val="000000"/>
          <w:kern w:val="0"/>
          <w:sz w:val="32"/>
          <w:szCs w:val="32"/>
          <w:shd w:val="clear" w:color="auto" w:fill="FFFFFF"/>
          <w:lang w:bidi="ar"/>
        </w:rPr>
        <w:t>党委、政府机关日常工作；负责人大、政协、武装部具体事务；负责协调纪检监察、组织、宣传、统战、机构编制、巡察、固定资产管理和后勤服务，</w:t>
      </w:r>
      <w:r>
        <w:rPr>
          <w:rFonts w:hint="eastAsia" w:ascii="仿宋" w:hAnsi="仿宋" w:eastAsia="仿宋" w:cs="仿宋_GB2312"/>
          <w:color w:val="000000"/>
          <w:kern w:val="0"/>
          <w:sz w:val="32"/>
          <w:szCs w:val="32"/>
          <w:shd w:val="clear" w:color="auto" w:fill="FFFFFF"/>
          <w:lang w:bidi="ar"/>
        </w:rPr>
        <w:t>完成乡党委、政府和上级有关部门交办的其他任务。</w:t>
      </w:r>
    </w:p>
    <w:p>
      <w:pPr>
        <w:ind w:firstLine="320" w:firstLineChars="10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2、</w:t>
      </w:r>
      <w:r>
        <w:rPr>
          <w:rFonts w:hint="eastAsia" w:ascii="仿宋" w:hAnsi="仿宋" w:eastAsia="仿宋"/>
          <w:bCs/>
          <w:sz w:val="32"/>
          <w:szCs w:val="32"/>
        </w:rPr>
        <w:t>经济发展办公室</w:t>
      </w:r>
    </w:p>
    <w:p>
      <w:pPr>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负责农业、工业、第三产业发展规划的制定实施及乡村振兴战略，完成乡党委、政府和上级有关部门交办的其他任务。</w:t>
      </w:r>
    </w:p>
    <w:p>
      <w:pPr>
        <w:ind w:firstLine="320" w:firstLineChars="10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3、</w:t>
      </w:r>
      <w:r>
        <w:rPr>
          <w:rFonts w:hint="eastAsia" w:ascii="仿宋" w:hAnsi="仿宋" w:eastAsia="仿宋"/>
          <w:bCs/>
          <w:sz w:val="32"/>
          <w:szCs w:val="32"/>
        </w:rPr>
        <w:t>社会事务办公室</w:t>
      </w:r>
    </w:p>
    <w:p>
      <w:pPr>
        <w:pStyle w:val="2"/>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负责农村基层政权建设，指导村委会民主选举、民主决策、民主管理和民主监督工作，指导村务公开、村账乡管等工作，完成乡党委、政府和上级有关部门交办的其他任务。</w:t>
      </w:r>
    </w:p>
    <w:p>
      <w:pPr>
        <w:pStyle w:val="2"/>
        <w:ind w:firstLine="320" w:firstLineChars="10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4、</w:t>
      </w:r>
      <w:r>
        <w:rPr>
          <w:rFonts w:hint="eastAsia" w:ascii="仿宋" w:hAnsi="仿宋" w:eastAsia="仿宋"/>
          <w:bCs/>
          <w:sz w:val="32"/>
          <w:szCs w:val="32"/>
        </w:rPr>
        <w:t>规划建设办公室</w:t>
      </w:r>
    </w:p>
    <w:p>
      <w:pPr>
        <w:pStyle w:val="2"/>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负责组织编制乡总体规划和村庄规划，根据乡总体规划的要求，组织编制本乡的控制性详细规划，完成乡党委、政府和上级有关部门交办的其他任务。</w:t>
      </w:r>
    </w:p>
    <w:p>
      <w:pPr>
        <w:pStyle w:val="2"/>
        <w:ind w:firstLine="320" w:firstLineChars="10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5、</w:t>
      </w:r>
      <w:r>
        <w:rPr>
          <w:rFonts w:hint="eastAsia" w:ascii="仿宋" w:hAnsi="仿宋" w:eastAsia="仿宋"/>
          <w:bCs/>
          <w:sz w:val="32"/>
          <w:szCs w:val="32"/>
        </w:rPr>
        <w:t>综合行政执法办公室</w:t>
      </w:r>
    </w:p>
    <w:p>
      <w:pPr>
        <w:pStyle w:val="2"/>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负责全乡综合行政执法队伍的日常管理，组织开展对综合行政执法思想巡查上报，完成乡党委、政府和上级有关部门交办的其他任务。</w:t>
      </w:r>
    </w:p>
    <w:p>
      <w:pPr>
        <w:pStyle w:val="2"/>
        <w:ind w:firstLine="640" w:firstLineChars="20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6、</w:t>
      </w:r>
      <w:r>
        <w:rPr>
          <w:rFonts w:hint="eastAsia" w:ascii="仿宋" w:hAnsi="仿宋" w:eastAsia="仿宋"/>
          <w:bCs/>
          <w:sz w:val="32"/>
          <w:szCs w:val="32"/>
        </w:rPr>
        <w:t>党群服务中心</w:t>
      </w:r>
    </w:p>
    <w:p>
      <w:pPr>
        <w:pStyle w:val="2"/>
        <w:ind w:firstLine="640" w:firstLineChars="200"/>
        <w:rPr>
          <w:rFonts w:hint="eastAsia" w:ascii="仿宋" w:hAnsi="仿宋" w:eastAsia="仿宋" w:cs="仿宋_GB2312"/>
          <w:color w:val="000000"/>
          <w:kern w:val="0"/>
          <w:sz w:val="32"/>
          <w:szCs w:val="32"/>
          <w:shd w:val="clear" w:color="auto" w:fill="FFFFFF"/>
          <w:lang w:bidi="ar"/>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发挥服务党组织和党员群众的功能，开展宣传党的方针政策和理论知识、党务政策咨询等活动；提供党员培训活动场所，做好区域内党建活动的日常组织、协调、联络和服务工作；完成乡党委、政府和上级有关部门交办的其他任务。</w:t>
      </w:r>
    </w:p>
    <w:p>
      <w:pPr>
        <w:pStyle w:val="2"/>
        <w:ind w:firstLine="768" w:firstLineChars="240"/>
        <w:rPr>
          <w:rFonts w:hint="eastAsia" w:ascii="仿宋" w:hAnsi="仿宋" w:eastAsia="仿宋"/>
          <w:bCs/>
          <w:sz w:val="32"/>
          <w:szCs w:val="32"/>
        </w:rPr>
      </w:pPr>
      <w:r>
        <w:rPr>
          <w:rFonts w:hint="eastAsia" w:ascii="仿宋" w:hAnsi="仿宋" w:eastAsia="仿宋" w:cs="仿宋_GB2312"/>
          <w:color w:val="000000"/>
          <w:kern w:val="0"/>
          <w:sz w:val="32"/>
          <w:szCs w:val="32"/>
          <w:shd w:val="clear" w:color="auto" w:fill="FFFFFF"/>
          <w:lang w:bidi="ar"/>
        </w:rPr>
        <w:t>7、</w:t>
      </w:r>
      <w:r>
        <w:rPr>
          <w:rFonts w:hint="eastAsia" w:ascii="仿宋" w:hAnsi="仿宋" w:eastAsia="仿宋"/>
          <w:bCs/>
          <w:sz w:val="32"/>
          <w:szCs w:val="32"/>
        </w:rPr>
        <w:t>综合便民服务中心</w:t>
      </w:r>
    </w:p>
    <w:p>
      <w:pPr>
        <w:pStyle w:val="2"/>
        <w:ind w:firstLine="640" w:firstLineChars="200"/>
        <w:rPr>
          <w:rFonts w:ascii="仿宋" w:hAnsi="仿宋" w:eastAsia="仿宋"/>
          <w:sz w:val="32"/>
          <w:szCs w:val="32"/>
        </w:rPr>
      </w:pPr>
      <w:r>
        <w:rPr>
          <w:rFonts w:hint="eastAsia" w:ascii="仿宋" w:hAnsi="仿宋" w:eastAsia="仿宋"/>
          <w:bCs/>
          <w:sz w:val="32"/>
          <w:szCs w:val="32"/>
        </w:rPr>
        <w:t>主要职责：</w:t>
      </w:r>
      <w:r>
        <w:rPr>
          <w:rFonts w:hint="eastAsia" w:ascii="仿宋" w:hAnsi="仿宋" w:eastAsia="仿宋" w:cs="仿宋_GB2312"/>
          <w:color w:val="000000"/>
          <w:kern w:val="0"/>
          <w:sz w:val="32"/>
          <w:szCs w:val="32"/>
          <w:shd w:val="clear" w:color="auto" w:fill="FFFFFF"/>
          <w:lang w:bidi="ar"/>
        </w:rPr>
        <w:t>负责制定乡综合便民服务中心的管理制度并组织实施，结合实际设置基层来信来访、乡村建设、农业农村服务、畜牧兽医、卫生健康和体育、就业和社会保障、社会救助、户籍管理、不动产登记、法律服务等便民服务专门窗口，完成乡党委、政府和上级有关部门交办的其他任务。</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朔州市朔城区利民镇人民政府</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1324.44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1324.44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104.69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104.69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2021年度增加疫情支出、利民镇饮水困难村送水经费、农村改厕预付资金和朔只线大北岔——平鲁界改造工程拆迁征地补偿款。</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1324.44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1324.44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1324.44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1024.88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299.56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年度财政拨款收入总计</w:t>
      </w:r>
      <w:r>
        <w:rPr>
          <w:rFonts w:hint="eastAsia" w:ascii="仿宋" w:hAnsi="仿宋" w:eastAsia="仿宋" w:cs="仿宋"/>
          <w:sz w:val="32"/>
          <w:szCs w:val="32"/>
          <w:highlight w:val="none"/>
          <w:lang w:val="en-US" w:eastAsia="zh-CN"/>
        </w:rPr>
        <w:t>1324.44</w:t>
      </w:r>
      <w:r>
        <w:rPr>
          <w:rFonts w:hint="eastAsia" w:ascii="宋体" w:hAnsi="宋体" w:eastAsia="仿宋_GB2312" w:cs="Times New Roman"/>
          <w:sz w:val="32"/>
          <w:szCs w:val="32"/>
          <w:highlight w:val="none"/>
        </w:rPr>
        <w:t>万元、支出总计</w:t>
      </w:r>
      <w:r>
        <w:rPr>
          <w:rFonts w:hint="eastAsia" w:ascii="宋体" w:hAnsi="宋体" w:eastAsia="仿宋_GB2312" w:cs="Times New Roman"/>
          <w:sz w:val="32"/>
          <w:szCs w:val="32"/>
          <w:highlight w:val="none"/>
          <w:lang w:val="en-US" w:eastAsia="zh-CN"/>
        </w:rPr>
        <w:t>1324.44</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年相比，财政拨款收入总计</w:t>
      </w:r>
      <w:r>
        <w:rPr>
          <w:rFonts w:hint="eastAsia" w:ascii="宋体" w:hAnsi="宋体" w:eastAsia="仿宋_GB2312" w:cs="Times New Roman"/>
          <w:sz w:val="32"/>
          <w:szCs w:val="32"/>
          <w:highlight w:val="none"/>
          <w:lang w:eastAsia="zh-CN"/>
        </w:rPr>
        <w:t>增加</w:t>
      </w:r>
      <w:r>
        <w:rPr>
          <w:rFonts w:hint="eastAsia" w:ascii="仿宋" w:hAnsi="仿宋" w:eastAsia="仿宋" w:cs="仿宋"/>
          <w:spacing w:val="-34"/>
          <w:sz w:val="32"/>
          <w:szCs w:val="32"/>
          <w:highlight w:val="none"/>
          <w:lang w:val="en-US" w:eastAsia="zh-CN"/>
        </w:rPr>
        <w:t>104.69</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提升</w:t>
      </w:r>
      <w:r>
        <w:rPr>
          <w:rFonts w:hint="eastAsia" w:ascii="宋体" w:hAnsi="宋体" w:eastAsia="仿宋_GB2312" w:cs="Times New Roman"/>
          <w:sz w:val="32"/>
          <w:szCs w:val="32"/>
          <w:highlight w:val="none"/>
          <w:lang w:val="en-US" w:eastAsia="zh-CN"/>
        </w:rPr>
        <w:t>8.58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2021年度增加疫情支出、利民镇饮水困难村送水经费、农村改厕预付资金和朔只线大北岔——平鲁界改造工程拆迁征地补偿款。</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1284.44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eastAsia="zh-CN"/>
        </w:rPr>
        <w:t>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84.25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2021年度增加疫情支出、利民镇饮水困难村送水经费和农村改厕预付资金。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1284.44</w:t>
      </w:r>
      <w:r>
        <w:rPr>
          <w:rFonts w:hint="eastAsia" w:ascii="宋体" w:hAnsi="宋体" w:eastAsia="仿宋_GB2312" w:cs="Times New Roman"/>
          <w:sz w:val="32"/>
          <w:szCs w:val="32"/>
        </w:rPr>
        <w:t>万元，主要用于以下方面：一般行政管理事务支出</w:t>
      </w:r>
      <w:r>
        <w:rPr>
          <w:rFonts w:hint="eastAsia" w:ascii="宋体" w:hAnsi="宋体" w:eastAsia="仿宋_GB2312" w:cs="Times New Roman"/>
          <w:sz w:val="32"/>
          <w:szCs w:val="32"/>
          <w:lang w:val="en-US" w:eastAsia="zh-CN"/>
        </w:rPr>
        <w:t>0.15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rPr>
        <w:t>%；行政运行支出</w:t>
      </w:r>
      <w:r>
        <w:rPr>
          <w:rFonts w:hint="eastAsia" w:ascii="宋体" w:hAnsi="宋体" w:eastAsia="仿宋_GB2312" w:cs="Times New Roman"/>
          <w:sz w:val="32"/>
          <w:szCs w:val="32"/>
          <w:lang w:val="en-US" w:eastAsia="zh-CN"/>
        </w:rPr>
        <w:t>292.68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22.79</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187.46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14.6</w:t>
      </w:r>
      <w:r>
        <w:rPr>
          <w:rFonts w:hint="eastAsia" w:ascii="宋体" w:hAnsi="宋体" w:eastAsia="仿宋_GB2312" w:cs="Times New Roman"/>
          <w:sz w:val="32"/>
          <w:szCs w:val="32"/>
        </w:rPr>
        <w:t>%；信访事务支出</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0.03</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0.03</w:t>
      </w:r>
      <w:r>
        <w:rPr>
          <w:rFonts w:hint="eastAsia" w:ascii="宋体" w:hAnsi="宋体" w:eastAsia="仿宋_GB2312" w:cs="Times New Roman"/>
          <w:sz w:val="32"/>
          <w:szCs w:val="32"/>
        </w:rPr>
        <w:t>%；死亡抚恤支出</w:t>
      </w:r>
      <w:r>
        <w:rPr>
          <w:rFonts w:hint="eastAsia" w:ascii="宋体" w:hAnsi="宋体" w:eastAsia="仿宋_GB2312" w:cs="Times New Roman"/>
          <w:sz w:val="32"/>
          <w:szCs w:val="32"/>
          <w:lang w:val="en-US" w:eastAsia="zh-CN"/>
        </w:rPr>
        <w:t>6.11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0.47</w:t>
      </w:r>
      <w:r>
        <w:rPr>
          <w:rFonts w:hint="eastAsia" w:ascii="宋体" w:hAnsi="宋体" w:eastAsia="仿宋_GB2312" w:cs="Times New Roman"/>
          <w:sz w:val="32"/>
          <w:szCs w:val="32"/>
        </w:rPr>
        <w:t>%；伤残抚恤支出</w:t>
      </w:r>
      <w:r>
        <w:rPr>
          <w:rFonts w:hint="eastAsia" w:ascii="宋体" w:hAnsi="宋体" w:eastAsia="仿宋_GB2312" w:cs="Times New Roman"/>
          <w:sz w:val="32"/>
          <w:szCs w:val="32"/>
          <w:lang w:val="en-US" w:eastAsia="zh-CN"/>
        </w:rPr>
        <w:t>13.15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1.02</w:t>
      </w:r>
      <w:r>
        <w:rPr>
          <w:rFonts w:hint="eastAsia" w:ascii="宋体" w:hAnsi="宋体" w:eastAsia="仿宋_GB2312" w:cs="Times New Roman"/>
          <w:sz w:val="32"/>
          <w:szCs w:val="32"/>
        </w:rPr>
        <w:t>%；在乡复员、</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退伍军人生活补助支出</w:t>
      </w:r>
      <w:r>
        <w:rPr>
          <w:rFonts w:hint="eastAsia" w:ascii="宋体" w:hAnsi="宋体" w:eastAsia="仿宋_GB2312" w:cs="Times New Roman"/>
          <w:sz w:val="32"/>
          <w:szCs w:val="32"/>
          <w:lang w:val="en-US" w:eastAsia="zh-CN"/>
        </w:rPr>
        <w:t>38.13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2.97</w:t>
      </w:r>
      <w:r>
        <w:rPr>
          <w:rFonts w:hint="eastAsia" w:ascii="宋体" w:hAnsi="宋体" w:eastAsia="仿宋_GB2312" w:cs="Times New Roman"/>
          <w:sz w:val="32"/>
          <w:szCs w:val="32"/>
        </w:rPr>
        <w:t>%；义务兵优待支出</w:t>
      </w:r>
      <w:r>
        <w:rPr>
          <w:rFonts w:hint="eastAsia" w:ascii="宋体" w:hAnsi="宋体" w:eastAsia="仿宋_GB2312" w:cs="Times New Roman"/>
          <w:sz w:val="32"/>
          <w:szCs w:val="32"/>
          <w:lang w:val="en-US" w:eastAsia="zh-CN"/>
        </w:rPr>
        <w:t>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0.93</w:t>
      </w:r>
      <w:r>
        <w:rPr>
          <w:rFonts w:hint="eastAsia" w:ascii="宋体" w:hAnsi="宋体" w:eastAsia="仿宋_GB2312" w:cs="Times New Roman"/>
          <w:sz w:val="32"/>
          <w:szCs w:val="32"/>
        </w:rPr>
        <w:t>%；农村籍退役士兵老年生活补助支出</w:t>
      </w:r>
      <w:r>
        <w:rPr>
          <w:rFonts w:hint="eastAsia" w:ascii="宋体" w:hAnsi="宋体" w:eastAsia="仿宋_GB2312" w:cs="Times New Roman"/>
          <w:sz w:val="32"/>
          <w:szCs w:val="32"/>
          <w:lang w:val="en-US" w:eastAsia="zh-CN"/>
        </w:rPr>
        <w:t>18.46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1.44</w:t>
      </w:r>
      <w:r>
        <w:rPr>
          <w:rFonts w:hint="eastAsia" w:ascii="宋体" w:hAnsi="宋体" w:eastAsia="仿宋_GB2312" w:cs="Times New Roman"/>
          <w:sz w:val="32"/>
          <w:szCs w:val="32"/>
        </w:rPr>
        <w:t>%；农村特困人员救助供养支出</w:t>
      </w:r>
      <w:r>
        <w:rPr>
          <w:rFonts w:hint="eastAsia" w:ascii="宋体" w:hAnsi="宋体" w:eastAsia="仿宋_GB2312" w:cs="Times New Roman"/>
          <w:sz w:val="32"/>
          <w:szCs w:val="32"/>
          <w:lang w:val="en-US" w:eastAsia="zh-CN"/>
        </w:rPr>
        <w:t>160.96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12.54</w:t>
      </w:r>
      <w:r>
        <w:rPr>
          <w:rFonts w:hint="eastAsia" w:ascii="宋体" w:hAnsi="宋体" w:eastAsia="仿宋_GB2312" w:cs="Times New Roman"/>
          <w:sz w:val="32"/>
          <w:szCs w:val="32"/>
        </w:rPr>
        <w:t>%；其他农村生活救助支出</w:t>
      </w:r>
      <w:r>
        <w:rPr>
          <w:rFonts w:hint="eastAsia" w:ascii="宋体" w:hAnsi="宋体" w:eastAsia="仿宋_GB2312" w:cs="Times New Roman"/>
          <w:sz w:val="32"/>
          <w:szCs w:val="32"/>
          <w:lang w:val="en-US" w:eastAsia="zh-CN"/>
        </w:rPr>
        <w:t>0.29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0.02</w:t>
      </w:r>
      <w:r>
        <w:rPr>
          <w:rFonts w:hint="eastAsia" w:ascii="宋体" w:hAnsi="宋体" w:eastAsia="仿宋_GB2312" w:cs="Times New Roman"/>
          <w:sz w:val="32"/>
          <w:szCs w:val="32"/>
        </w:rPr>
        <w:t>%；乡镇卫生院支出</w:t>
      </w:r>
      <w:r>
        <w:rPr>
          <w:rFonts w:hint="eastAsia" w:ascii="宋体" w:hAnsi="宋体" w:eastAsia="仿宋_GB2312" w:cs="Times New Roman"/>
          <w:sz w:val="32"/>
          <w:szCs w:val="32"/>
          <w:lang w:val="en-US" w:eastAsia="zh-CN"/>
        </w:rPr>
        <w:t>9.28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0.72</w:t>
      </w:r>
      <w:r>
        <w:rPr>
          <w:rFonts w:hint="eastAsia" w:ascii="宋体" w:hAnsi="宋体" w:eastAsia="仿宋_GB2312" w:cs="Times New Roman"/>
          <w:sz w:val="32"/>
          <w:szCs w:val="32"/>
        </w:rPr>
        <w:t>%；突发公共卫生事件应急处理支出</w:t>
      </w:r>
      <w:r>
        <w:rPr>
          <w:rFonts w:hint="eastAsia" w:ascii="宋体" w:hAnsi="宋体" w:eastAsia="仿宋_GB2312" w:cs="Times New Roman"/>
          <w:sz w:val="32"/>
          <w:szCs w:val="32"/>
          <w:lang w:val="en-US" w:eastAsia="zh-CN"/>
        </w:rPr>
        <w:t>30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2.3</w:t>
      </w:r>
      <w:r>
        <w:rPr>
          <w:rFonts w:hint="eastAsia" w:ascii="宋体" w:hAnsi="宋体" w:eastAsia="仿宋_GB2312" w:cs="Times New Roman"/>
          <w:sz w:val="32"/>
          <w:szCs w:val="32"/>
        </w:rPr>
        <w:t>%；其他农业农村支出</w:t>
      </w:r>
      <w:r>
        <w:rPr>
          <w:rFonts w:hint="eastAsia" w:ascii="宋体" w:hAnsi="宋体" w:eastAsia="仿宋_GB2312" w:cs="Times New Roman"/>
          <w:sz w:val="32"/>
          <w:szCs w:val="32"/>
          <w:lang w:val="en-US" w:eastAsia="zh-CN"/>
        </w:rPr>
        <w:t>84.6万元，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6.6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；对村级公益事业建设的补助支出120万元，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9.3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；对村民委员会和村党支部的补助支出14.62万元，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1.14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；对村集体经济组织的补助支出291.75万元，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22.7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1284.44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1284.44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1024.88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830.14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347.26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482.88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194.74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194.74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年“三公”经费一般公共</w:t>
      </w:r>
      <w:r>
        <w:rPr>
          <w:rFonts w:hint="eastAsia" w:ascii="宋体" w:hAnsi="宋体" w:eastAsia="仿宋_GB2312" w:cs="Times New Roman"/>
          <w:sz w:val="32"/>
          <w:szCs w:val="32"/>
          <w:highlight w:val="none"/>
          <w:lang w:eastAsia="zh-CN"/>
        </w:rPr>
        <w:t>预算</w:t>
      </w:r>
      <w:r>
        <w:rPr>
          <w:rFonts w:hint="eastAsia" w:ascii="宋体" w:hAnsi="宋体" w:eastAsia="仿宋_GB2312" w:cs="Times New Roman"/>
          <w:sz w:val="32"/>
          <w:szCs w:val="32"/>
          <w:highlight w:val="none"/>
        </w:rPr>
        <w:t>财政拨款支出</w:t>
      </w:r>
      <w:r>
        <w:rPr>
          <w:rFonts w:hint="eastAsia" w:ascii="宋体" w:hAnsi="宋体" w:eastAsia="仿宋_GB2312" w:cs="Times New Roman"/>
          <w:sz w:val="32"/>
          <w:szCs w:val="32"/>
          <w:highlight w:val="none"/>
          <w:lang w:eastAsia="zh-CN"/>
        </w:rPr>
        <w:t>预算数</w:t>
      </w:r>
      <w:r>
        <w:rPr>
          <w:rFonts w:hint="eastAsia" w:ascii="仿宋" w:hAnsi="仿宋" w:eastAsia="仿宋" w:cs="仿宋"/>
          <w:spacing w:val="4"/>
          <w:sz w:val="32"/>
          <w:szCs w:val="32"/>
          <w:highlight w:val="none"/>
          <w:lang w:val="en-US" w:eastAsia="zh-CN"/>
        </w:rPr>
        <w:t>1.5</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年“三公”经费一般公共</w:t>
      </w:r>
      <w:r>
        <w:rPr>
          <w:rFonts w:hint="eastAsia" w:ascii="宋体" w:hAnsi="宋体" w:eastAsia="仿宋_GB2312" w:cs="Times New Roman"/>
          <w:sz w:val="32"/>
          <w:szCs w:val="32"/>
          <w:highlight w:val="none"/>
          <w:lang w:eastAsia="zh-CN"/>
        </w:rPr>
        <w:t>预算</w:t>
      </w:r>
      <w:r>
        <w:rPr>
          <w:rFonts w:hint="eastAsia" w:ascii="宋体" w:hAnsi="宋体" w:eastAsia="仿宋_GB2312" w:cs="Times New Roman"/>
          <w:sz w:val="32"/>
          <w:szCs w:val="32"/>
          <w:highlight w:val="none"/>
        </w:rPr>
        <w:t>财政拨款支出决算</w:t>
      </w:r>
      <w:r>
        <w:rPr>
          <w:rFonts w:hint="eastAsia" w:ascii="宋体" w:hAnsi="宋体" w:eastAsia="仿宋_GB2312" w:cs="Times New Roman"/>
          <w:sz w:val="32"/>
          <w:szCs w:val="32"/>
          <w:highlight w:val="none"/>
          <w:lang w:eastAsia="zh-CN"/>
        </w:rPr>
        <w:t>数</w:t>
      </w:r>
      <w:r>
        <w:rPr>
          <w:rFonts w:hint="eastAsia" w:ascii="仿宋" w:hAnsi="仿宋" w:eastAsia="仿宋" w:cs="仿宋"/>
          <w:spacing w:val="4"/>
          <w:sz w:val="32"/>
          <w:szCs w:val="32"/>
          <w:highlight w:val="none"/>
          <w:lang w:val="en-US" w:eastAsia="zh-CN"/>
        </w:rPr>
        <w:t>1.4</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0.1万元，原因是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压减一般性支出</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1.4</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0.16</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压减一般性支出</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40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40</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val="en-US" w:eastAsia="zh-CN"/>
        </w:rPr>
        <w:t>征地和拆迁补偿支出25万元</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用于</w:t>
      </w:r>
      <w:r>
        <w:rPr>
          <w:rFonts w:hint="eastAsia" w:ascii="宋体" w:hAnsi="宋体" w:eastAsia="仿宋_GB2312" w:cs="Times New Roman"/>
          <w:sz w:val="32"/>
          <w:szCs w:val="32"/>
          <w:highlight w:val="none"/>
          <w:lang w:eastAsia="zh-CN"/>
        </w:rPr>
        <w:t>文化事业</w:t>
      </w:r>
      <w:r>
        <w:rPr>
          <w:rFonts w:hint="eastAsia" w:ascii="宋体" w:hAnsi="宋体" w:eastAsia="仿宋_GB2312" w:cs="Times New Roman"/>
          <w:sz w:val="32"/>
          <w:szCs w:val="32"/>
          <w:highlight w:val="none"/>
          <w:lang w:val="en-US" w:eastAsia="zh-CN"/>
        </w:rPr>
        <w:t>的彩票公益支出15万元。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hint="eastAsia"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194.74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87.39</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30.98</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eastAsia="zh-CN"/>
        </w:rPr>
        <w:t>我单位</w:t>
      </w:r>
      <w:r>
        <w:rPr>
          <w:rFonts w:hint="eastAsia" w:ascii="仿宋_GB2312" w:hAnsi="仿宋_GB2312" w:eastAsia="仿宋_GB2312" w:cs="仿宋_GB2312"/>
          <w:color w:val="000000"/>
          <w:kern w:val="0"/>
          <w:sz w:val="31"/>
          <w:szCs w:val="31"/>
          <w:lang w:val="en-US" w:eastAsia="zh-CN"/>
        </w:rPr>
        <w:t>2021年未开展绩效评价。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DC4241"/>
    <w:rsid w:val="00E4217F"/>
    <w:rsid w:val="096A09C8"/>
    <w:rsid w:val="0E115DFD"/>
    <w:rsid w:val="11D27EAE"/>
    <w:rsid w:val="18E03732"/>
    <w:rsid w:val="19043E41"/>
    <w:rsid w:val="20B27654"/>
    <w:rsid w:val="20D97C1B"/>
    <w:rsid w:val="23553F43"/>
    <w:rsid w:val="23D042AE"/>
    <w:rsid w:val="23FD6CDF"/>
    <w:rsid w:val="290A2A95"/>
    <w:rsid w:val="299664C8"/>
    <w:rsid w:val="331F0EFB"/>
    <w:rsid w:val="370F7C68"/>
    <w:rsid w:val="3F28132A"/>
    <w:rsid w:val="436449AA"/>
    <w:rsid w:val="49221B6F"/>
    <w:rsid w:val="539E29B9"/>
    <w:rsid w:val="5B7560C6"/>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2022-09-19T02:31:59Z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