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朔州市朔城区司法局2021年部门决算公开情况说明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9"/>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9"/>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9"/>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120" w:firstLineChars="10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bCs/>
          <w:sz w:val="32"/>
          <w:szCs w:val="32"/>
        </w:rPr>
      </w:pPr>
      <w:r>
        <w:rPr>
          <w:rFonts w:hint="eastAsia" w:ascii="仿宋" w:hAnsi="仿宋" w:eastAsia="仿宋" w:cs="仿宋"/>
          <w:bCs/>
          <w:sz w:val="32"/>
          <w:szCs w:val="32"/>
        </w:rPr>
        <w:t>1、承担全面依法治区重大问题的政策研究，协调有关方面提出全面依法治区中长期规划建议，负责有关重大决策部署督查工作。</w:t>
      </w:r>
    </w:p>
    <w:p>
      <w:pPr>
        <w:ind w:firstLine="640" w:firstLineChars="200"/>
        <w:rPr>
          <w:rFonts w:ascii="仿宋" w:hAnsi="仿宋" w:eastAsia="仿宋" w:cs="仿宋"/>
          <w:bCs/>
          <w:sz w:val="32"/>
          <w:szCs w:val="32"/>
        </w:rPr>
      </w:pPr>
      <w:r>
        <w:rPr>
          <w:rFonts w:hint="eastAsia" w:ascii="仿宋" w:hAnsi="仿宋" w:eastAsia="仿宋" w:cs="仿宋"/>
          <w:bCs/>
          <w:sz w:val="32"/>
          <w:szCs w:val="32"/>
        </w:rPr>
        <w:t>2、承办区政府规章的解释、评估工作。负责协调各部门在法律法规实施中的有关争议和问题。负责区政府规章清理、译审工作，编辑出版区政府规章汇编正式文本。负责政府规章和规范性文件的备案审查工作。</w:t>
      </w:r>
    </w:p>
    <w:p>
      <w:pPr>
        <w:ind w:firstLine="640" w:firstLineChars="200"/>
        <w:rPr>
          <w:rFonts w:ascii="仿宋" w:hAnsi="仿宋" w:eastAsia="仿宋" w:cs="仿宋"/>
          <w:bCs/>
          <w:sz w:val="32"/>
          <w:szCs w:val="32"/>
        </w:rPr>
      </w:pPr>
      <w:r>
        <w:rPr>
          <w:rFonts w:hint="eastAsia" w:ascii="仿宋" w:hAnsi="仿宋" w:eastAsia="仿宋" w:cs="仿宋"/>
          <w:bCs/>
          <w:sz w:val="32"/>
          <w:szCs w:val="32"/>
        </w:rPr>
        <w:t>3、承担统筹推进法治政府建设的责任。指导和监督全区依法行政工作。负责综合协调行政执法，承担推进行政执法体制改革有关工作，推进严格规范公正文明执法工作。指导、监督全区行政复议和行政应诉工作，负责行政复议行政应诉案件办理工作。</w:t>
      </w:r>
    </w:p>
    <w:p>
      <w:pPr>
        <w:ind w:firstLine="640" w:firstLineChars="200"/>
        <w:rPr>
          <w:rFonts w:ascii="仿宋" w:hAnsi="仿宋" w:eastAsia="仿宋" w:cs="仿宋"/>
          <w:bCs/>
          <w:sz w:val="32"/>
          <w:szCs w:val="32"/>
        </w:rPr>
      </w:pPr>
      <w:r>
        <w:rPr>
          <w:rFonts w:hint="eastAsia" w:ascii="仿宋" w:hAnsi="仿宋" w:eastAsia="仿宋" w:cs="仿宋"/>
          <w:bCs/>
          <w:sz w:val="32"/>
          <w:szCs w:val="32"/>
        </w:rPr>
        <w:t>4、指导、管理社区矫正工作。指导刑满释放人员帮教安置工作。</w:t>
      </w:r>
    </w:p>
    <w:p>
      <w:pPr>
        <w:ind w:firstLine="640" w:firstLineChars="200"/>
        <w:rPr>
          <w:rFonts w:ascii="仿宋" w:hAnsi="仿宋" w:eastAsia="仿宋" w:cs="仿宋"/>
          <w:sz w:val="32"/>
          <w:szCs w:val="32"/>
        </w:rPr>
      </w:pPr>
      <w:r>
        <w:rPr>
          <w:rFonts w:hint="eastAsia" w:ascii="仿宋" w:hAnsi="仿宋" w:eastAsia="仿宋" w:cs="仿宋"/>
          <w:sz w:val="32"/>
          <w:szCs w:val="32"/>
        </w:rPr>
        <w:t>5、指导、监督本系统法学教育、法学理论研究和司法行政政策理论研究工作。</w:t>
      </w:r>
    </w:p>
    <w:p>
      <w:pPr>
        <w:ind w:firstLine="640" w:firstLineChars="200"/>
        <w:rPr>
          <w:rFonts w:ascii="仿宋" w:hAnsi="仿宋" w:eastAsia="仿宋" w:cs="仿宋"/>
          <w:sz w:val="32"/>
          <w:szCs w:val="32"/>
        </w:rPr>
      </w:pPr>
      <w:r>
        <w:rPr>
          <w:rFonts w:hint="eastAsia" w:ascii="仿宋" w:hAnsi="仿宋" w:eastAsia="仿宋" w:cs="仿宋"/>
          <w:sz w:val="32"/>
          <w:szCs w:val="32"/>
        </w:rPr>
        <w:t>6、完成区委、区政府交办的其他任务。             （二）部门机构设置</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本单位内设8个科室，下属1</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个司法所。从预算单位构成看，我单位部门决算为本级决算。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w:t>
      </w:r>
      <w:r>
        <w:rPr>
          <w:rFonts w:hint="eastAsia" w:ascii="宋体" w:hAnsi="宋体" w:eastAsia="仿宋_GB2312" w:cs="Times New Roman"/>
          <w:sz w:val="32"/>
          <w:szCs w:val="32"/>
          <w:lang w:val="en-US" w:eastAsia="zh-CN"/>
        </w:rPr>
        <w:t>786.02</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786.02</w:t>
      </w:r>
      <w:r>
        <w:rPr>
          <w:rFonts w:hint="eastAsia" w:ascii="宋体" w:hAnsi="宋体" w:eastAsia="仿宋_GB2312" w:cs="Times New Roman"/>
          <w:sz w:val="32"/>
          <w:szCs w:val="32"/>
        </w:rPr>
        <w:t>万元。与 2020年相比,收入总计减少</w:t>
      </w:r>
      <w:r>
        <w:rPr>
          <w:rFonts w:hint="eastAsia" w:ascii="宋体" w:hAnsi="宋体" w:eastAsia="仿宋_GB2312" w:cs="Times New Roman"/>
          <w:sz w:val="32"/>
          <w:szCs w:val="32"/>
          <w:lang w:val="en-US" w:eastAsia="zh-CN"/>
        </w:rPr>
        <w:t>221.3</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221.3</w:t>
      </w:r>
      <w:r>
        <w:rPr>
          <w:rFonts w:hint="eastAsia" w:ascii="宋体" w:hAnsi="宋体" w:eastAsia="仿宋_GB2312" w:cs="Times New Roman"/>
          <w:sz w:val="32"/>
          <w:szCs w:val="32"/>
        </w:rPr>
        <w:t>万元。主要原因是：</w:t>
      </w:r>
      <w:r>
        <w:rPr>
          <w:rFonts w:ascii="宋体" w:hAnsi="宋体" w:eastAsia="仿宋_GB2312" w:cs="Times New Roman"/>
          <w:sz w:val="32"/>
          <w:szCs w:val="32"/>
        </w:rPr>
        <w:t>2021</w:t>
      </w:r>
      <w:r>
        <w:rPr>
          <w:rFonts w:hint="eastAsia" w:ascii="宋体" w:hAnsi="宋体" w:eastAsia="仿宋_GB2312" w:cs="Times New Roman"/>
          <w:sz w:val="32"/>
          <w:szCs w:val="32"/>
        </w:rPr>
        <w:t>年公务员退休</w:t>
      </w:r>
      <w:r>
        <w:rPr>
          <w:rFonts w:ascii="宋体" w:hAnsi="宋体" w:eastAsia="仿宋_GB2312" w:cs="Times New Roman"/>
          <w:sz w:val="32"/>
          <w:szCs w:val="32"/>
        </w:rPr>
        <w:t>7</w:t>
      </w:r>
      <w:r>
        <w:rPr>
          <w:rFonts w:hint="eastAsia" w:ascii="宋体" w:hAnsi="宋体" w:eastAsia="仿宋_GB2312" w:cs="Times New Roman"/>
          <w:sz w:val="32"/>
          <w:szCs w:val="32"/>
        </w:rPr>
        <w:t>人，1</w:t>
      </w:r>
      <w:r>
        <w:rPr>
          <w:rFonts w:ascii="宋体" w:hAnsi="宋体" w:eastAsia="仿宋_GB2312" w:cs="Times New Roman"/>
          <w:sz w:val="32"/>
          <w:szCs w:val="32"/>
        </w:rPr>
        <w:t>8</w:t>
      </w:r>
      <w:r>
        <w:rPr>
          <w:rFonts w:hint="eastAsia" w:ascii="宋体" w:hAnsi="宋体" w:eastAsia="仿宋_GB2312" w:cs="Times New Roman"/>
          <w:sz w:val="32"/>
          <w:szCs w:val="32"/>
        </w:rPr>
        <w:t>名事业人员因机构改革由我局转入法律援助中心，工资、津补贴、五险一金等相应减少。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746.97</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746.97</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ascii="宋体" w:hAnsi="宋体" w:eastAsia="仿宋_GB2312" w:cs="Times New Roman"/>
          <w:sz w:val="32"/>
          <w:szCs w:val="32"/>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786.02</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656.04</w:t>
      </w:r>
      <w:r>
        <w:rPr>
          <w:rFonts w:hint="eastAsia" w:ascii="宋体" w:hAnsi="宋体" w:eastAsia="仿宋_GB2312" w:cs="Times New Roman"/>
          <w:sz w:val="32"/>
          <w:szCs w:val="32"/>
        </w:rPr>
        <w:t>万元 ；项目支出</w:t>
      </w:r>
      <w:r>
        <w:rPr>
          <w:rFonts w:ascii="仿宋" w:hAnsi="仿宋" w:eastAsia="仿宋" w:cs="仿宋"/>
          <w:sz w:val="32"/>
          <w:szCs w:val="32"/>
        </w:rPr>
        <w:t>129.97</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w:t>
      </w:r>
      <w:r>
        <w:rPr>
          <w:rFonts w:hint="eastAsia" w:ascii="宋体" w:hAnsi="宋体" w:eastAsia="仿宋_GB2312" w:cs="Times New Roman"/>
          <w:sz w:val="32"/>
          <w:szCs w:val="32"/>
          <w:lang w:val="en-US" w:eastAsia="zh-CN"/>
        </w:rPr>
        <w:t>786.02</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786.02</w:t>
      </w:r>
      <w:r>
        <w:rPr>
          <w:rFonts w:hint="eastAsia" w:ascii="宋体" w:hAnsi="宋体" w:eastAsia="仿宋_GB2312" w:cs="Times New Roman"/>
          <w:sz w:val="32"/>
          <w:szCs w:val="32"/>
        </w:rPr>
        <w:t>万元。与 2020 年相比，财政拨款收入总计减少</w:t>
      </w:r>
      <w:r>
        <w:rPr>
          <w:rFonts w:ascii="仿宋" w:hAnsi="仿宋" w:eastAsia="仿宋" w:cs="仿宋"/>
          <w:spacing w:val="-34"/>
          <w:sz w:val="32"/>
          <w:szCs w:val="32"/>
        </w:rPr>
        <w:t xml:space="preserve"> </w:t>
      </w:r>
      <w:r>
        <w:rPr>
          <w:rFonts w:hint="eastAsia" w:ascii="仿宋" w:hAnsi="仿宋" w:eastAsia="仿宋" w:cs="仿宋"/>
          <w:spacing w:val="-34"/>
          <w:sz w:val="32"/>
          <w:szCs w:val="32"/>
          <w:lang w:val="en-US" w:eastAsia="zh-CN"/>
        </w:rPr>
        <w:t>221.3</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21.97</w:t>
      </w:r>
      <w:r>
        <w:rPr>
          <w:rFonts w:hint="eastAsia" w:ascii="宋体" w:hAnsi="宋体" w:eastAsia="仿宋_GB2312" w:cs="Times New Roman"/>
          <w:sz w:val="32"/>
          <w:szCs w:val="32"/>
        </w:rPr>
        <w:t>%。主要原因是：2021年公务员退休7人，18名事业人员因机构改革由我局转入法律援助中心，工资、津补贴、五险一金等相应减少。</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宋体" w:hAnsi="宋体" w:eastAsia="仿宋_GB2312" w:cs="Times New Roman"/>
          <w:sz w:val="32"/>
          <w:szCs w:val="32"/>
          <w:lang w:val="en-US" w:eastAsia="zh-CN"/>
        </w:rPr>
        <w:t>786.02</w:t>
      </w:r>
      <w:r>
        <w:rPr>
          <w:rFonts w:hint="eastAsia" w:ascii="宋体" w:hAnsi="宋体" w:eastAsia="仿宋_GB2312" w:cs="Times New Roman"/>
          <w:sz w:val="32"/>
          <w:szCs w:val="32"/>
        </w:rPr>
        <w:t>万元，与 2020 年相比，财政拨款支出减少</w:t>
      </w:r>
      <w:r>
        <w:rPr>
          <w:rFonts w:hint="eastAsia" w:ascii="宋体" w:hAnsi="宋体" w:eastAsia="仿宋_GB2312" w:cs="Times New Roman"/>
          <w:sz w:val="32"/>
          <w:szCs w:val="32"/>
          <w:lang w:val="en-US" w:eastAsia="zh-CN"/>
        </w:rPr>
        <w:t>174.13</w:t>
      </w:r>
      <w:r>
        <w:rPr>
          <w:rFonts w:hint="eastAsia" w:ascii="宋体" w:hAnsi="宋体" w:eastAsia="仿宋_GB2312" w:cs="Times New Roman"/>
          <w:sz w:val="32"/>
          <w:szCs w:val="32"/>
        </w:rPr>
        <w:t xml:space="preserve">万元。主要原因是：2021年公务员退休7人，18名事业人员因机构改革由我局转入法律援助中心，工资、津补贴、五险一金等相应减少。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hint="eastAsia" w:ascii="宋体" w:hAnsi="宋体" w:eastAsia="仿宋_GB2312" w:cs="Times New Roman"/>
          <w:sz w:val="32"/>
          <w:szCs w:val="32"/>
          <w:lang w:val="en-US" w:eastAsia="zh-CN"/>
        </w:rPr>
        <w:t>786.02</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2040601</w:t>
      </w:r>
      <w:r>
        <w:rPr>
          <w:rFonts w:hint="eastAsia" w:ascii="宋体" w:hAnsi="宋体" w:eastAsia="仿宋_GB2312" w:cs="Times New Roman"/>
          <w:sz w:val="32"/>
          <w:szCs w:val="32"/>
        </w:rPr>
        <w:t>公共安全支出科目(司法类)行政运行支出</w:t>
      </w:r>
      <w:r>
        <w:rPr>
          <w:rFonts w:hint="eastAsia" w:ascii="宋体" w:hAnsi="宋体" w:eastAsia="仿宋_GB2312" w:cs="Times New Roman"/>
          <w:sz w:val="32"/>
          <w:szCs w:val="32"/>
          <w:lang w:val="en-US" w:eastAsia="zh-CN"/>
        </w:rPr>
        <w:t>551.75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70.2</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2040602</w:t>
      </w:r>
      <w:r>
        <w:rPr>
          <w:rFonts w:hint="eastAsia" w:ascii="宋体" w:hAnsi="宋体" w:eastAsia="仿宋_GB2312" w:cs="Times New Roman"/>
          <w:sz w:val="32"/>
          <w:szCs w:val="32"/>
        </w:rPr>
        <w:t>一般行政管理事务支出1</w:t>
      </w:r>
      <w:r>
        <w:rPr>
          <w:rFonts w:ascii="宋体" w:hAnsi="宋体" w:eastAsia="仿宋_GB2312" w:cs="Times New Roman"/>
          <w:sz w:val="32"/>
          <w:szCs w:val="32"/>
        </w:rPr>
        <w:t>19.38</w:t>
      </w:r>
      <w:r>
        <w:rPr>
          <w:rFonts w:hint="eastAsia" w:ascii="宋体" w:hAnsi="宋体" w:eastAsia="仿宋_GB2312" w:cs="Times New Roman"/>
          <w:sz w:val="32"/>
          <w:szCs w:val="32"/>
        </w:rPr>
        <w:t>万元，</w:t>
      </w:r>
      <w:bookmarkStart w:id="16" w:name="_Hlk113984739"/>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15.19</w:t>
      </w:r>
      <w:r>
        <w:rPr>
          <w:rFonts w:hint="eastAsia" w:ascii="宋体" w:hAnsi="宋体" w:eastAsia="仿宋_GB2312" w:cs="Times New Roman"/>
          <w:sz w:val="32"/>
          <w:szCs w:val="32"/>
        </w:rPr>
        <w:t>%</w:t>
      </w:r>
      <w:bookmarkEnd w:id="16"/>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2040603</w:t>
      </w:r>
      <w:r>
        <w:rPr>
          <w:rFonts w:hint="eastAsia" w:ascii="宋体" w:hAnsi="宋体" w:eastAsia="仿宋_GB2312" w:cs="Times New Roman"/>
          <w:sz w:val="32"/>
          <w:szCs w:val="32"/>
        </w:rPr>
        <w:t>机关服务支出1</w:t>
      </w:r>
      <w:r>
        <w:rPr>
          <w:rFonts w:ascii="宋体" w:hAnsi="宋体" w:eastAsia="仿宋_GB2312" w:cs="Times New Roman"/>
          <w:sz w:val="32"/>
          <w:szCs w:val="32"/>
        </w:rPr>
        <w:t>14.29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14.54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科学技术支出科目(类)其他科学技术支出0</w:t>
      </w:r>
      <w:r>
        <w:rPr>
          <w:rFonts w:ascii="宋体" w:hAnsi="宋体" w:eastAsia="仿宋_GB2312" w:cs="Times New Roman"/>
          <w:sz w:val="32"/>
          <w:szCs w:val="32"/>
        </w:rPr>
        <w:t>.1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2299999</w:t>
      </w:r>
      <w:r>
        <w:rPr>
          <w:rFonts w:hint="eastAsia" w:ascii="宋体" w:hAnsi="宋体" w:eastAsia="仿宋_GB2312" w:cs="Times New Roman"/>
          <w:sz w:val="32"/>
          <w:szCs w:val="32"/>
        </w:rPr>
        <w:t>其他支出科目(类)支出0</w:t>
      </w:r>
      <w:r>
        <w:rPr>
          <w:rFonts w:ascii="宋体" w:hAnsi="宋体" w:eastAsia="仿宋_GB2312" w:cs="Times New Roman"/>
          <w:sz w:val="32"/>
          <w:szCs w:val="32"/>
        </w:rPr>
        <w:t>.5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0.06</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hint="eastAsia" w:ascii="宋体" w:hAnsi="宋体" w:eastAsia="仿宋_GB2312" w:cs="Times New Roman"/>
          <w:sz w:val="32"/>
          <w:szCs w:val="32"/>
          <w:lang w:val="en-US" w:eastAsia="zh-CN"/>
        </w:rPr>
        <w:t>786.02</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786.02</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7" w:name="_Toc28951_WPSOffice_Level2"/>
      <w:bookmarkStart w:id="18" w:name="_Toc21993_WPSOffice_Level2"/>
      <w:r>
        <w:rPr>
          <w:rFonts w:hint="eastAsia" w:ascii="宋体" w:hAnsi="宋体" w:eastAsia="仿宋_GB2312" w:cs="Times New Roman"/>
          <w:sz w:val="32"/>
          <w:szCs w:val="32"/>
        </w:rPr>
        <w:t>2021 年度财政拨款基本支出</w:t>
      </w:r>
      <w:r>
        <w:rPr>
          <w:rFonts w:hint="eastAsia" w:ascii="宋体" w:hAnsi="宋体" w:eastAsia="仿宋_GB2312" w:cs="Times New Roman"/>
          <w:sz w:val="32"/>
          <w:szCs w:val="32"/>
          <w:lang w:val="en-US" w:eastAsia="zh-CN"/>
        </w:rPr>
        <w:t>656.04</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556.69</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541.54</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1</w:t>
      </w:r>
      <w:r>
        <w:rPr>
          <w:rFonts w:hint="eastAsia" w:ascii="仿宋" w:hAnsi="仿宋" w:eastAsia="仿宋" w:cs="仿宋"/>
          <w:spacing w:val="4"/>
          <w:sz w:val="32"/>
          <w:szCs w:val="32"/>
          <w:lang w:val="en-US" w:eastAsia="zh-CN"/>
        </w:rPr>
        <w:t>5.15</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99.35</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99.35</w:t>
      </w:r>
      <w:r>
        <w:rPr>
          <w:rFonts w:hint="eastAsia" w:ascii="宋体" w:hAnsi="宋体" w:eastAsia="仿宋_GB2312" w:cs="Times New Roman"/>
          <w:sz w:val="32"/>
          <w:szCs w:val="32"/>
        </w:rPr>
        <w:t>万元和资本性支出</w:t>
      </w:r>
      <w:r>
        <w:rPr>
          <w:rFonts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7"/>
      <w:bookmarkEnd w:id="18"/>
    </w:p>
    <w:p>
      <w:pPr>
        <w:ind w:firstLine="640" w:firstLineChars="200"/>
        <w:rPr>
          <w:rFonts w:ascii="宋体" w:hAnsi="宋体" w:eastAsia="仿宋_GB2312" w:cs="Times New Roman"/>
          <w:sz w:val="32"/>
          <w:szCs w:val="32"/>
        </w:rPr>
      </w:pPr>
      <w:bookmarkStart w:id="19" w:name="_Toc9131_WPSOffice_Level2"/>
      <w:bookmarkStart w:id="20" w:name="_Toc10214_WPSOffice_Level2"/>
      <w:r>
        <w:rPr>
          <w:rFonts w:hint="eastAsia" w:ascii="宋体" w:hAnsi="宋体" w:eastAsia="仿宋_GB2312" w:cs="Times New Roman"/>
          <w:sz w:val="32"/>
          <w:szCs w:val="32"/>
        </w:rPr>
        <w:t>2021年“三公”经费一般公共预算财政拨款支出预算数</w:t>
      </w:r>
      <w:r>
        <w:rPr>
          <w:rFonts w:hint="eastAsia" w:ascii="仿宋" w:hAnsi="仿宋" w:eastAsia="仿宋" w:cs="仿宋"/>
          <w:spacing w:val="4"/>
          <w:sz w:val="32"/>
          <w:szCs w:val="32"/>
        </w:rPr>
        <w:t>3</w:t>
      </w:r>
      <w:r>
        <w:rPr>
          <w:rFonts w:ascii="仿宋" w:hAnsi="仿宋" w:eastAsia="仿宋" w:cs="仿宋"/>
          <w:spacing w:val="4"/>
          <w:sz w:val="32"/>
          <w:szCs w:val="32"/>
        </w:rPr>
        <w:t>.48</w:t>
      </w:r>
      <w:r>
        <w:rPr>
          <w:rFonts w:hint="eastAsia" w:ascii="宋体" w:hAnsi="宋体" w:eastAsia="仿宋_GB2312" w:cs="Times New Roman"/>
          <w:sz w:val="32"/>
          <w:szCs w:val="32"/>
        </w:rPr>
        <w:t>万元，2021年“三公”经费一般公共预算财政拨款支出决算数</w:t>
      </w:r>
      <w:r>
        <w:rPr>
          <w:rFonts w:ascii="仿宋" w:hAnsi="仿宋" w:eastAsia="仿宋" w:cs="仿宋"/>
          <w:spacing w:val="4"/>
          <w:sz w:val="32"/>
          <w:szCs w:val="32"/>
        </w:rPr>
        <w:t>3.48</w:t>
      </w:r>
      <w:r>
        <w:rPr>
          <w:rFonts w:hint="eastAsia" w:ascii="宋体" w:hAnsi="宋体" w:eastAsia="仿宋_GB2312" w:cs="Times New Roman"/>
          <w:sz w:val="32"/>
          <w:szCs w:val="32"/>
        </w:rPr>
        <w:t>万元，与同年预算相比无变化；比2020年决算数</w:t>
      </w:r>
      <w:r>
        <w:rPr>
          <w:rFonts w:hint="eastAsia" w:ascii="仿宋" w:hAnsi="仿宋" w:eastAsia="仿宋" w:cs="仿宋"/>
          <w:spacing w:val="4"/>
          <w:sz w:val="32"/>
          <w:szCs w:val="32"/>
        </w:rPr>
        <w:t>减少</w:t>
      </w:r>
      <w:r>
        <w:rPr>
          <w:rFonts w:ascii="仿宋" w:hAnsi="仿宋" w:eastAsia="仿宋" w:cs="仿宋"/>
          <w:spacing w:val="4"/>
          <w:sz w:val="32"/>
          <w:szCs w:val="32"/>
        </w:rPr>
        <w:t>0.02</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公车运行维护费和接待费减少</w:t>
      </w:r>
      <w:r>
        <w:rPr>
          <w:rFonts w:hint="eastAsia" w:ascii="宋体" w:hAnsi="宋体" w:eastAsia="仿宋_GB2312" w:cs="Times New Roman"/>
          <w:sz w:val="32"/>
          <w:szCs w:val="32"/>
        </w:rPr>
        <w:t>。其中：因公出国（境）费用</w:t>
      </w:r>
      <w:r>
        <w:rPr>
          <w:rFonts w:ascii="宋体" w:hAnsi="宋体" w:eastAsia="仿宋_GB2312" w:cs="Times New Roman"/>
          <w:sz w:val="32"/>
          <w:szCs w:val="32"/>
        </w:rPr>
        <w:t>0</w:t>
      </w:r>
      <w:r>
        <w:rPr>
          <w:rFonts w:hint="eastAsia" w:ascii="宋体" w:hAnsi="宋体" w:eastAsia="仿宋_GB2312" w:cs="Times New Roman"/>
          <w:sz w:val="32"/>
          <w:szCs w:val="32"/>
        </w:rPr>
        <w:t>万元，比上年无变化；</w:t>
      </w:r>
      <w:r>
        <w:rPr>
          <w:rFonts w:hint="eastAsia" w:ascii="宋体" w:hAnsi="宋体" w:eastAsia="仿宋_GB2312" w:cs="Times New Roman"/>
          <w:sz w:val="32"/>
          <w:szCs w:val="32"/>
          <w:highlight w:val="none"/>
        </w:rPr>
        <w:t>公务接待费</w:t>
      </w:r>
      <w:r>
        <w:rPr>
          <w:rFonts w:ascii="宋体" w:hAnsi="宋体" w:eastAsia="仿宋_GB2312" w:cs="Times New Roman"/>
          <w:sz w:val="32"/>
          <w:szCs w:val="32"/>
          <w:highlight w:val="none"/>
        </w:rPr>
        <w:t>0.49</w:t>
      </w:r>
      <w:r>
        <w:rPr>
          <w:rFonts w:hint="eastAsia" w:ascii="宋体" w:hAnsi="宋体" w:eastAsia="仿宋_GB2312" w:cs="Times New Roman"/>
          <w:sz w:val="32"/>
          <w:szCs w:val="32"/>
          <w:highlight w:val="none"/>
        </w:rPr>
        <w:t>万元，比上年</w:t>
      </w:r>
      <w:r>
        <w:rPr>
          <w:rFonts w:hint="eastAsia" w:ascii="仿宋" w:hAnsi="仿宋" w:eastAsia="仿宋" w:cs="仿宋"/>
          <w:spacing w:val="4"/>
          <w:sz w:val="32"/>
          <w:szCs w:val="32"/>
          <w:highlight w:val="none"/>
        </w:rPr>
        <w:t>减少</w:t>
      </w:r>
      <w:r>
        <w:rPr>
          <w:rFonts w:ascii="仿宋" w:hAnsi="仿宋" w:eastAsia="仿宋" w:cs="仿宋"/>
          <w:spacing w:val="4"/>
          <w:sz w:val="32"/>
          <w:szCs w:val="32"/>
          <w:highlight w:val="none"/>
        </w:rPr>
        <w:t>0.01</w:t>
      </w:r>
      <w:r>
        <w:rPr>
          <w:rFonts w:hint="eastAsia" w:ascii="宋体" w:hAnsi="宋体" w:eastAsia="仿宋_GB2312" w:cs="Times New Roman"/>
          <w:sz w:val="32"/>
          <w:szCs w:val="32"/>
          <w:highlight w:val="none"/>
        </w:rPr>
        <w:t>万元，</w:t>
      </w:r>
      <w:bookmarkStart w:id="23" w:name="_GoBack"/>
      <w:r>
        <w:rPr>
          <w:rFonts w:hint="eastAsia" w:ascii="宋体" w:hAnsi="宋体" w:eastAsia="仿宋_GB2312" w:cs="Times New Roman"/>
          <w:sz w:val="32"/>
          <w:szCs w:val="32"/>
          <w:highlight w:val="none"/>
          <w:lang w:eastAsia="zh-CN"/>
        </w:rPr>
        <w:t>成立人民调解协会，接待团次一次，人数</w:t>
      </w:r>
      <w:r>
        <w:rPr>
          <w:rFonts w:hint="eastAsia" w:ascii="宋体" w:hAnsi="宋体" w:eastAsia="仿宋_GB2312" w:cs="Times New Roman"/>
          <w:sz w:val="32"/>
          <w:szCs w:val="32"/>
          <w:highlight w:val="none"/>
          <w:lang w:val="en-US" w:eastAsia="zh-CN"/>
        </w:rPr>
        <w:t>127人</w:t>
      </w:r>
      <w:bookmarkEnd w:id="23"/>
      <w:r>
        <w:rPr>
          <w:rFonts w:hint="eastAsia" w:ascii="宋体" w:hAnsi="宋体" w:eastAsia="仿宋_GB2312" w:cs="Times New Roman"/>
          <w:sz w:val="32"/>
          <w:szCs w:val="32"/>
          <w:highlight w:val="none"/>
        </w:rPr>
        <w:t>；公务用车运行维</w:t>
      </w:r>
      <w:r>
        <w:rPr>
          <w:rFonts w:hint="eastAsia" w:ascii="宋体" w:hAnsi="宋体" w:eastAsia="仿宋_GB2312" w:cs="Times New Roman"/>
          <w:sz w:val="32"/>
          <w:szCs w:val="32"/>
        </w:rPr>
        <w:t>护费</w:t>
      </w:r>
      <w:r>
        <w:rPr>
          <w:rFonts w:ascii="仿宋" w:hAnsi="仿宋" w:eastAsia="仿宋" w:cs="仿宋"/>
          <w:spacing w:val="4"/>
          <w:sz w:val="32"/>
          <w:szCs w:val="32"/>
        </w:rPr>
        <w:t>2.99</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ascii="仿宋" w:hAnsi="仿宋" w:eastAsia="仿宋" w:cs="仿宋"/>
          <w:spacing w:val="4"/>
          <w:sz w:val="32"/>
          <w:szCs w:val="32"/>
        </w:rPr>
        <w:t>0.01</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公车维修费减少</w:t>
      </w:r>
      <w:r>
        <w:rPr>
          <w:rFonts w:hint="eastAsia" w:ascii="宋体" w:hAnsi="宋体" w:eastAsia="仿宋_GB2312" w:cs="Times New Roman"/>
          <w:sz w:val="32"/>
          <w:szCs w:val="32"/>
        </w:rPr>
        <w:t>；公务用车购置费</w:t>
      </w:r>
      <w:r>
        <w:rPr>
          <w:rFonts w:ascii="宋体" w:hAnsi="宋体" w:eastAsia="仿宋_GB2312" w:cs="Times New Roman"/>
          <w:sz w:val="32"/>
          <w:szCs w:val="32"/>
        </w:rPr>
        <w:t>0</w:t>
      </w:r>
      <w:r>
        <w:rPr>
          <w:rFonts w:hint="eastAsia" w:ascii="宋体" w:hAnsi="宋体" w:eastAsia="仿宋_GB2312" w:cs="Times New Roman"/>
          <w:sz w:val="32"/>
          <w:szCs w:val="32"/>
        </w:rPr>
        <w:t>万元，与上年相比无变化。</w:t>
      </w:r>
    </w:p>
    <w:bookmarkEnd w:id="19"/>
    <w:bookmarkEnd w:id="20"/>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单位机关运行经费支出9</w:t>
      </w:r>
      <w:r>
        <w:rPr>
          <w:rFonts w:ascii="宋体" w:hAnsi="宋体" w:eastAsia="仿宋_GB2312" w:cs="Times New Roman"/>
          <w:sz w:val="32"/>
          <w:szCs w:val="32"/>
        </w:rPr>
        <w:t>9.35</w:t>
      </w:r>
      <w:r>
        <w:rPr>
          <w:rFonts w:hint="eastAsia" w:ascii="宋体" w:hAnsi="宋体" w:eastAsia="仿宋_GB2312" w:cs="Times New Roman"/>
          <w:sz w:val="32"/>
          <w:szCs w:val="32"/>
        </w:rPr>
        <w:t>万元，比2020年减少</w:t>
      </w:r>
      <w:r>
        <w:rPr>
          <w:rFonts w:ascii="宋体" w:hAnsi="宋体" w:eastAsia="仿宋_GB2312" w:cs="Times New Roman"/>
          <w:sz w:val="32"/>
          <w:szCs w:val="32"/>
        </w:rPr>
        <w:t>11.05</w:t>
      </w:r>
      <w:r>
        <w:rPr>
          <w:rFonts w:hint="eastAsia" w:ascii="宋体" w:hAnsi="宋体" w:eastAsia="仿宋_GB2312" w:cs="Times New Roman"/>
          <w:sz w:val="32"/>
          <w:szCs w:val="32"/>
        </w:rPr>
        <w:t>万元，降低</w:t>
      </w:r>
      <w:r>
        <w:rPr>
          <w:rFonts w:ascii="宋体" w:hAnsi="宋体" w:eastAsia="仿宋_GB2312" w:cs="Times New Roman"/>
          <w:sz w:val="32"/>
          <w:szCs w:val="32"/>
        </w:rPr>
        <w:t>10</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压减一般性支出</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ascii="仿宋" w:hAnsi="仿宋" w:eastAsia="仿宋" w:cs="仿宋"/>
          <w:spacing w:val="4"/>
          <w:sz w:val="32"/>
          <w:szCs w:val="32"/>
        </w:rPr>
        <w:t>16.42</w:t>
      </w:r>
      <w:r>
        <w:rPr>
          <w:rFonts w:hint="eastAsia" w:ascii="宋体" w:hAnsi="宋体" w:eastAsia="仿宋_GB2312" w:cs="Times New Roman"/>
          <w:sz w:val="32"/>
          <w:szCs w:val="32"/>
        </w:rPr>
        <w:t>万元，其中：政府采购货物</w:t>
      </w:r>
      <w:r>
        <w:rPr>
          <w:rFonts w:ascii="仿宋" w:hAnsi="仿宋" w:eastAsia="仿宋" w:cs="仿宋"/>
          <w:spacing w:val="4"/>
          <w:sz w:val="32"/>
          <w:szCs w:val="32"/>
        </w:rPr>
        <w:t>0</w:t>
      </w:r>
      <w:r>
        <w:rPr>
          <w:rFonts w:hint="eastAsia" w:ascii="宋体" w:hAnsi="宋体" w:eastAsia="仿宋_GB2312" w:cs="Times New Roman"/>
          <w:sz w:val="32"/>
          <w:szCs w:val="32"/>
        </w:rPr>
        <w:t>万元、政府采购工程</w:t>
      </w:r>
      <w:r>
        <w:rPr>
          <w:rFonts w:ascii="宋体" w:hAnsi="宋体" w:eastAsia="仿宋_GB2312" w:cs="Times New Roman"/>
          <w:sz w:val="32"/>
          <w:szCs w:val="32"/>
        </w:rPr>
        <w:t>0</w:t>
      </w:r>
      <w:r>
        <w:rPr>
          <w:rFonts w:hint="eastAsia" w:ascii="宋体" w:hAnsi="宋体" w:eastAsia="仿宋_GB2312" w:cs="Times New Roman"/>
          <w:sz w:val="32"/>
          <w:szCs w:val="32"/>
        </w:rPr>
        <w:t>万元、政府采购服务</w:t>
      </w:r>
      <w:r>
        <w:rPr>
          <w:rFonts w:ascii="宋体" w:hAnsi="宋体" w:eastAsia="仿宋_GB2312" w:cs="Times New Roman"/>
          <w:sz w:val="32"/>
          <w:szCs w:val="32"/>
        </w:rPr>
        <w:t>16.42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w:t>
      </w:r>
      <w:r>
        <w:rPr>
          <w:rFonts w:ascii="宋体" w:hAnsi="宋体" w:eastAsia="仿宋_GB2312" w:cs="Times New Roman"/>
          <w:sz w:val="32"/>
          <w:szCs w:val="32"/>
        </w:rPr>
        <w:t>7</w:t>
      </w:r>
      <w:r>
        <w:rPr>
          <w:rFonts w:hint="eastAsia" w:ascii="宋体" w:hAnsi="宋体" w:eastAsia="仿宋_GB2312" w:cs="Times New Roman"/>
          <w:sz w:val="32"/>
          <w:szCs w:val="32"/>
        </w:rPr>
        <w:t>辆，其中，主要领导干部用车</w:t>
      </w:r>
      <w:r>
        <w:rPr>
          <w:rFonts w:ascii="宋体" w:hAnsi="宋体" w:eastAsia="仿宋_GB2312" w:cs="Times New Roman"/>
          <w:sz w:val="32"/>
          <w:szCs w:val="32"/>
        </w:rPr>
        <w:t>0</w:t>
      </w:r>
      <w:r>
        <w:rPr>
          <w:rFonts w:hint="eastAsia" w:ascii="宋体" w:hAnsi="宋体" w:eastAsia="仿宋_GB2312" w:cs="Times New Roman"/>
          <w:sz w:val="32"/>
          <w:szCs w:val="32"/>
        </w:rPr>
        <w:t>辆、机要通信用车</w:t>
      </w:r>
      <w:r>
        <w:rPr>
          <w:rFonts w:ascii="宋体" w:hAnsi="宋体" w:eastAsia="仿宋_GB2312" w:cs="Times New Roman"/>
          <w:sz w:val="32"/>
          <w:szCs w:val="32"/>
        </w:rPr>
        <w:t>0</w:t>
      </w:r>
      <w:r>
        <w:rPr>
          <w:rFonts w:hint="eastAsia" w:ascii="宋体" w:hAnsi="宋体" w:eastAsia="仿宋_GB2312" w:cs="Times New Roman"/>
          <w:sz w:val="32"/>
          <w:szCs w:val="32"/>
        </w:rPr>
        <w:t>辆、应急保障用车</w:t>
      </w:r>
      <w:r>
        <w:rPr>
          <w:rFonts w:ascii="宋体" w:hAnsi="宋体" w:eastAsia="仿宋_GB2312" w:cs="Times New Roman"/>
          <w:sz w:val="32"/>
          <w:szCs w:val="32"/>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ascii="宋体" w:hAnsi="宋体" w:eastAsia="仿宋_GB2312" w:cs="Times New Roman"/>
          <w:sz w:val="32"/>
          <w:szCs w:val="32"/>
        </w:rPr>
        <w:t>0</w:t>
      </w:r>
      <w:r>
        <w:rPr>
          <w:rFonts w:hint="eastAsia" w:ascii="宋体" w:hAnsi="宋体" w:eastAsia="仿宋_GB2312" w:cs="Times New Roman"/>
          <w:sz w:val="32"/>
          <w:szCs w:val="32"/>
        </w:rPr>
        <w:t>辆、离退休干部用车</w:t>
      </w:r>
      <w:r>
        <w:rPr>
          <w:rFonts w:ascii="宋体" w:hAnsi="宋体" w:eastAsia="仿宋_GB2312" w:cs="Times New Roman"/>
          <w:sz w:val="32"/>
          <w:szCs w:val="32"/>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辆， 单价50万元（含）以上的通用设备</w:t>
      </w:r>
      <w:r>
        <w:rPr>
          <w:rFonts w:ascii="宋体" w:hAnsi="宋体" w:eastAsia="仿宋_GB2312" w:cs="Times New Roman"/>
          <w:sz w:val="32"/>
          <w:szCs w:val="32"/>
        </w:rPr>
        <w:t>0</w:t>
      </w:r>
      <w:r>
        <w:rPr>
          <w:rFonts w:hint="eastAsia" w:ascii="宋体" w:hAnsi="宋体" w:eastAsia="仿宋_GB2312" w:cs="Times New Roman"/>
          <w:sz w:val="32"/>
          <w:szCs w:val="32"/>
        </w:rPr>
        <w:t>台（套）， 单价100万元（含）以上专用设备</w:t>
      </w:r>
      <w:r>
        <w:rPr>
          <w:rFonts w:ascii="宋体" w:hAnsi="宋体" w:eastAsia="仿宋_GB2312" w:cs="Times New Roman"/>
          <w:sz w:val="32"/>
          <w:szCs w:val="32"/>
        </w:rPr>
        <w:t>0</w:t>
      </w:r>
      <w:r>
        <w:rPr>
          <w:rFonts w:hint="eastAsia" w:ascii="宋体" w:hAnsi="宋体" w:eastAsia="仿宋_GB2312" w:cs="Times New Roman"/>
          <w:sz w:val="32"/>
          <w:szCs w:val="32"/>
        </w:rPr>
        <w:t>台（套）。</w:t>
      </w:r>
    </w:p>
    <w:p>
      <w:pPr>
        <w:rPr>
          <w:rFonts w:ascii="楷体" w:hAnsi="楷体" w:eastAsia="楷体" w:cs="楷体"/>
          <w:spacing w:val="-3"/>
          <w:sz w:val="32"/>
          <w:szCs w:val="32"/>
        </w:rPr>
      </w:pPr>
      <w:r>
        <w:rPr>
          <w:rFonts w:hint="eastAsia" w:ascii="宋体" w:hAnsi="宋体" w:eastAsia="仿宋_GB2312" w:cs="Times New Roman"/>
          <w:sz w:val="32"/>
          <w:szCs w:val="32"/>
          <w:lang w:val="en-US" w:eastAsia="zh-CN"/>
        </w:rPr>
        <w:t>4.</w:t>
      </w: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1" w:name="_Toc32537"/>
      <w:bookmarkStart w:id="22"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1"/>
      <w:bookmarkEnd w:id="22"/>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ZjEzNDQzZGViOGU5NmI5MzY2MmM0NDJkOWRlZjIifQ=="/>
  </w:docVars>
  <w:rsids>
    <w:rsidRoot w:val="7E3F0B7D"/>
    <w:rsid w:val="000014A7"/>
    <w:rsid w:val="00010C95"/>
    <w:rsid w:val="00052B5B"/>
    <w:rsid w:val="00161477"/>
    <w:rsid w:val="003B7488"/>
    <w:rsid w:val="0040517E"/>
    <w:rsid w:val="0046150C"/>
    <w:rsid w:val="0053448C"/>
    <w:rsid w:val="00667009"/>
    <w:rsid w:val="00751417"/>
    <w:rsid w:val="00774AFB"/>
    <w:rsid w:val="00776AE4"/>
    <w:rsid w:val="008A6E96"/>
    <w:rsid w:val="00AF794F"/>
    <w:rsid w:val="00D705EE"/>
    <w:rsid w:val="00DA1A8B"/>
    <w:rsid w:val="00E4217F"/>
    <w:rsid w:val="00F1199A"/>
    <w:rsid w:val="0C330DA7"/>
    <w:rsid w:val="0E115DFD"/>
    <w:rsid w:val="11D27EAE"/>
    <w:rsid w:val="179356F6"/>
    <w:rsid w:val="20D97C1B"/>
    <w:rsid w:val="21211BCE"/>
    <w:rsid w:val="23553F43"/>
    <w:rsid w:val="299664C8"/>
    <w:rsid w:val="3F28132A"/>
    <w:rsid w:val="447A0E22"/>
    <w:rsid w:val="49221B6F"/>
    <w:rsid w:val="6544153D"/>
    <w:rsid w:val="68CD37BD"/>
    <w:rsid w:val="6C940C35"/>
    <w:rsid w:val="6FA22EA0"/>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3117</Words>
  <Characters>3409</Characters>
  <Lines>27</Lines>
  <Paragraphs>7</Paragraphs>
  <TotalTime>111</TotalTime>
  <ScaleCrop>false</ScaleCrop>
  <LinksUpToDate>false</LinksUpToDate>
  <CharactersWithSpaces>3453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2022-10-21T03:23:02Z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58E079FF84F648EF9B5EBEE806DF701E</vt:lpwstr>
  </property>
</Properties>
</file>