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r>
        <w:rPr>
          <w:rFonts w:hint="eastAsia" w:ascii="黑体" w:eastAsia="黑体"/>
          <w:sz w:val="44"/>
          <w:szCs w:val="44"/>
          <w:lang w:eastAsia="zh-CN"/>
        </w:rPr>
        <w:t>朔州市朔城区财政局</w:t>
      </w: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朔城区财政局是区人民政府管理全区财税政策，实施财政监督、参与对国民经济经行宏观调控的职能部门。主要职责为：</w:t>
      </w:r>
    </w:p>
    <w:p>
      <w:pPr>
        <w:ind w:firstLine="480" w:firstLineChars="150"/>
        <w:rPr>
          <w:rFonts w:ascii="仿宋" w:hAnsi="仿宋" w:eastAsia="仿宋"/>
          <w:color w:val="000000"/>
          <w:sz w:val="32"/>
          <w:szCs w:val="32"/>
          <w:shd w:val="clear" w:color="auto" w:fill="FFFFFF"/>
        </w:rPr>
      </w:pPr>
      <w:r>
        <w:rPr>
          <w:rFonts w:hint="eastAsia" w:ascii="仿宋" w:hAnsi="仿宋" w:eastAsia="仿宋" w:cs="仿宋"/>
          <w:sz w:val="32"/>
          <w:szCs w:val="32"/>
        </w:rPr>
        <w:t> </w:t>
      </w:r>
      <w:r>
        <w:rPr>
          <w:rFonts w:hint="eastAsia" w:ascii="仿宋" w:hAnsi="仿宋" w:eastAsia="仿宋" w:cs="仿宋"/>
          <w:sz w:val="32"/>
          <w:szCs w:val="32"/>
          <w:lang w:val="en-US" w:eastAsia="zh-CN"/>
        </w:rPr>
        <w:t>1.</w:t>
      </w:r>
      <w:r>
        <w:rPr>
          <w:rFonts w:ascii="仿宋" w:hAnsi="仿宋" w:eastAsia="仿宋"/>
          <w:color w:val="000000"/>
          <w:sz w:val="32"/>
          <w:szCs w:val="32"/>
          <w:shd w:val="clear" w:color="auto" w:fill="FFFFFF"/>
        </w:rPr>
        <w:t>拟订和执行财政中长期规划、改革方案及其他有关具体管理措施；参与制订各项宏观经济政策，提出运用财税政策实施宏观调节和综合平衡社会财力的建设；执行国家财政分配政策。</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2.</w:t>
      </w:r>
      <w:r>
        <w:rPr>
          <w:rFonts w:ascii="仿宋" w:hAnsi="仿宋" w:eastAsia="仿宋"/>
          <w:color w:val="000000"/>
          <w:sz w:val="32"/>
          <w:szCs w:val="32"/>
          <w:shd w:val="clear" w:color="auto" w:fill="FFFFFF"/>
        </w:rPr>
        <w:t>拟订全区财政、国有资本金基础管理、政府公共财产管理、财务会计管理的制度和办法并组织实施。</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3.</w:t>
      </w:r>
      <w:r>
        <w:rPr>
          <w:rFonts w:ascii="仿宋" w:hAnsi="仿宋" w:eastAsia="仿宋"/>
          <w:color w:val="000000"/>
          <w:sz w:val="32"/>
          <w:szCs w:val="32"/>
          <w:shd w:val="clear" w:color="auto" w:fill="FFFFFF"/>
        </w:rPr>
        <w:t>编制全区年度预决算草案，受区人民政府委托，向区人民代表大会报告全区预算及其执行情况；管理区级各项财政收入、预算外资金和财政专户；管理区级有关政府性基金、行政性收费、罚没收入，对全区财政性资金进行综合平衡。</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4.</w:t>
      </w:r>
      <w:r>
        <w:rPr>
          <w:rFonts w:ascii="仿宋" w:hAnsi="仿宋" w:eastAsia="仿宋"/>
          <w:color w:val="000000"/>
          <w:sz w:val="32"/>
          <w:szCs w:val="32"/>
          <w:shd w:val="clear" w:color="auto" w:fill="FFFFFF"/>
        </w:rPr>
        <w:t>贯彻国家有关税政工作方针政策，确定财政税收收入计划。</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5.</w:t>
      </w:r>
      <w:r>
        <w:rPr>
          <w:rFonts w:ascii="仿宋" w:hAnsi="仿宋" w:eastAsia="仿宋"/>
          <w:color w:val="000000"/>
          <w:sz w:val="32"/>
          <w:szCs w:val="32"/>
          <w:shd w:val="clear" w:color="auto" w:fill="FFFFFF"/>
        </w:rPr>
        <w:t>管理全区公共支出；监管政府采购活动，完善政府采购制度；制订全区统一规定的开支标准和支出；拟订执行《行政、事业单位财务规则》实施细则；拟订基本建设财务制度并监督实施。</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6.</w:t>
      </w:r>
      <w:r>
        <w:rPr>
          <w:rFonts w:ascii="仿宋" w:hAnsi="仿宋" w:eastAsia="仿宋"/>
          <w:color w:val="000000"/>
          <w:sz w:val="32"/>
          <w:szCs w:val="32"/>
          <w:shd w:val="clear" w:color="auto" w:fill="FFFFFF"/>
        </w:rPr>
        <w:t>贯彻执行国家国有资本金基础管理方针、政策的规章制度、管理办法和改革方案；组织实施国有企业的清产核算、资本金权属界定和登记；负责国有资本金的统计、分析、评价，指导财产评估。</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7.</w:t>
      </w:r>
      <w:r>
        <w:rPr>
          <w:rFonts w:ascii="仿宋" w:hAnsi="仿宋" w:eastAsia="仿宋"/>
          <w:color w:val="000000"/>
          <w:sz w:val="32"/>
          <w:szCs w:val="32"/>
          <w:shd w:val="clear" w:color="auto" w:fill="FFFFFF"/>
        </w:rPr>
        <w:t>管理全区财政支持经济发展和各项事业的专项资金；监督执行《企业财务通则》；监管地方金融机构的财务工作</w:t>
      </w:r>
      <w:r>
        <w:rPr>
          <w:rFonts w:hint="eastAsia" w:ascii="仿宋" w:hAnsi="仿宋" w:eastAsia="仿宋"/>
          <w:color w:val="000000"/>
          <w:sz w:val="32"/>
          <w:szCs w:val="32"/>
          <w:shd w:val="clear" w:color="auto" w:fill="FFFFFF"/>
        </w:rPr>
        <w:t>。</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8.</w:t>
      </w:r>
      <w:r>
        <w:rPr>
          <w:rFonts w:ascii="仿宋" w:hAnsi="仿宋" w:eastAsia="仿宋"/>
          <w:color w:val="000000"/>
          <w:sz w:val="32"/>
          <w:szCs w:val="32"/>
          <w:shd w:val="clear" w:color="auto" w:fill="FFFFFF"/>
        </w:rPr>
        <w:t>管理全区财政社会保障支出。拟订社会保障财务管理办法，组织实施对社会保障资金使用的财政监督。</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9.</w:t>
      </w:r>
      <w:r>
        <w:rPr>
          <w:rFonts w:ascii="仿宋" w:hAnsi="仿宋" w:eastAsia="仿宋"/>
          <w:color w:val="000000"/>
          <w:sz w:val="32"/>
          <w:szCs w:val="32"/>
          <w:shd w:val="clear" w:color="auto" w:fill="FFFFFF"/>
        </w:rPr>
        <w:t>贯彻执行国家有关涉外财政政策；执行国家关于内、外债务管理方针政策的规章制度和管理办法；负责外国政府贷款、国际金融组织贷款、国内农发基金贷款。</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10.</w:t>
      </w:r>
      <w:r>
        <w:rPr>
          <w:rFonts w:ascii="仿宋" w:hAnsi="仿宋" w:eastAsia="仿宋"/>
          <w:color w:val="000000"/>
          <w:sz w:val="32"/>
          <w:szCs w:val="32"/>
          <w:shd w:val="clear" w:color="auto" w:fill="FFFFFF"/>
        </w:rPr>
        <w:t>参与住房制度和土地使用制度改革，拟订并监督住房资金、国有土地出让金收益财务管理和会计管理办法。</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11.</w:t>
      </w:r>
      <w:r>
        <w:rPr>
          <w:rFonts w:ascii="仿宋" w:hAnsi="仿宋" w:eastAsia="仿宋"/>
          <w:color w:val="000000"/>
          <w:sz w:val="32"/>
          <w:szCs w:val="32"/>
          <w:shd w:val="clear" w:color="auto" w:fill="FFFFFF"/>
        </w:rPr>
        <w:t>管理全区会计工作；组织贯彻实施会计法律、法律、规章制度，依法实施会计监督检查工作。</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12.</w:t>
      </w:r>
      <w:r>
        <w:rPr>
          <w:rFonts w:ascii="仿宋" w:hAnsi="仿宋" w:eastAsia="仿宋"/>
          <w:color w:val="000000"/>
          <w:sz w:val="32"/>
          <w:szCs w:val="32"/>
          <w:shd w:val="clear" w:color="auto" w:fill="FFFFFF"/>
        </w:rPr>
        <w:t>监督财税方针、政策、法律规定的执行情况；检查反映财政收支管理中的重大问题；提出加强财政管理的建议。</w:t>
      </w:r>
    </w:p>
    <w:p>
      <w:pPr>
        <w:ind w:firstLine="480" w:firstLineChars="15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13.</w:t>
      </w:r>
      <w:r>
        <w:rPr>
          <w:rFonts w:ascii="仿宋" w:hAnsi="仿宋" w:eastAsia="仿宋"/>
          <w:color w:val="000000"/>
          <w:sz w:val="32"/>
          <w:szCs w:val="32"/>
          <w:shd w:val="clear" w:color="auto" w:fill="FFFFFF"/>
        </w:rPr>
        <w:t>制定财政科学研究和教育规划，组织财政人才培训；负责财政信息和财政宣传工作。</w:t>
      </w:r>
    </w:p>
    <w:p>
      <w:pPr>
        <w:ind w:firstLine="480" w:firstLineChars="150"/>
        <w:rPr>
          <w:rFonts w:ascii="仿宋" w:hAnsi="仿宋" w:eastAsia="仿宋" w:cs="仿宋"/>
          <w:sz w:val="32"/>
          <w:szCs w:val="32"/>
        </w:rPr>
      </w:pPr>
      <w:r>
        <w:rPr>
          <w:rFonts w:hint="eastAsia" w:ascii="仿宋" w:hAnsi="仿宋" w:eastAsia="仿宋"/>
          <w:color w:val="000000"/>
          <w:sz w:val="32"/>
          <w:szCs w:val="32"/>
          <w:shd w:val="clear" w:color="auto" w:fill="FFFFFF"/>
          <w:lang w:val="en-US" w:eastAsia="zh-CN"/>
        </w:rPr>
        <w:t>14.</w:t>
      </w:r>
      <w:r>
        <w:rPr>
          <w:rFonts w:ascii="仿宋" w:hAnsi="仿宋" w:eastAsia="仿宋"/>
          <w:color w:val="000000"/>
          <w:sz w:val="32"/>
          <w:szCs w:val="32"/>
          <w:shd w:val="clear" w:color="auto" w:fill="FFFFFF"/>
        </w:rPr>
        <w:t>完成区委、区政府交办的其他任务。</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w:t>
      </w:r>
      <w:r>
        <w:rPr>
          <w:rFonts w:hint="eastAsia" w:ascii="宋体" w:hAnsi="宋体" w:eastAsia="仿宋_GB2312" w:cs="Times New Roman"/>
          <w:sz w:val="32"/>
          <w:szCs w:val="32"/>
          <w:lang w:val="en-US" w:eastAsia="zh-CN"/>
        </w:rPr>
        <w:t>11</w:t>
      </w:r>
      <w:r>
        <w:rPr>
          <w:rFonts w:hint="eastAsia" w:ascii="宋体" w:hAnsi="宋体" w:eastAsia="仿宋_GB2312" w:cs="Times New Roman"/>
          <w:sz w:val="32"/>
          <w:szCs w:val="32"/>
        </w:rPr>
        <w:t>个科室，下属</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个单位</w:t>
      </w:r>
      <w:r>
        <w:rPr>
          <w:rFonts w:hint="eastAsia" w:ascii="宋体" w:hAnsi="宋体" w:eastAsia="仿宋_GB2312" w:cs="Times New Roman"/>
          <w:sz w:val="32"/>
          <w:szCs w:val="32"/>
          <w:lang w:eastAsia="zh-CN"/>
        </w:rPr>
        <w:t>，</w:t>
      </w:r>
      <w:r>
        <w:rPr>
          <w:rFonts w:hint="eastAsia" w:ascii="仿宋" w:hAnsi="仿宋" w:eastAsia="仿宋" w:cs="仿宋"/>
          <w:sz w:val="32"/>
          <w:szCs w:val="32"/>
          <w:lang w:eastAsia="zh-CN"/>
        </w:rPr>
        <w:t>分别是朔州市朔城区财政预算绩效评价中心、朔州市朔城区财政局国库支付中心、朔州市朔城区财政投资评审中心</w:t>
      </w:r>
      <w:r>
        <w:rPr>
          <w:rFonts w:hint="eastAsia" w:ascii="仿宋" w:hAnsi="仿宋" w:eastAsia="仿宋" w:cs="仿宋"/>
          <w:sz w:val="32"/>
          <w:szCs w:val="32"/>
        </w:rPr>
        <w:t>。</w:t>
      </w: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朔州市朔城区财政局</w:t>
      </w:r>
      <w:r>
        <w:rPr>
          <w:rFonts w:hint="eastAsia" w:ascii="宋体" w:hAnsi="宋体" w:eastAsia="仿宋_GB2312" w:cs="Times New Roman"/>
          <w:sz w:val="32"/>
          <w:szCs w:val="32"/>
        </w:rPr>
        <w:t>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912.48</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912.48</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682.99</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682.99</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2021年减少办税大厅建设费500万元，减少绩效评价服务费200万元。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909.70</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909.70</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912.48</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359.58</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552.90</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909.70</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909.70</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672.32</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42.50</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2021年减少办税大厅建设费500万元，减少绩效评价服务费200万元。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909.70</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672.32</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2021年减少办税大厅建设费500万元，减少绩效评价服务费200万元。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909.70</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2010601行政运行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550.25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60.49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2010602</w:t>
      </w:r>
      <w:r>
        <w:rPr>
          <w:rFonts w:hint="eastAsia" w:ascii="宋体" w:hAnsi="宋体" w:eastAsia="仿宋_GB2312" w:cs="Times New Roman"/>
          <w:sz w:val="32"/>
          <w:szCs w:val="32"/>
          <w:lang w:eastAsia="zh-CN"/>
        </w:rPr>
        <w:t>一般行政管理事务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226.74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24.93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2010603机关服务</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128.03</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14.07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2010699其他财政事务支出4.68万元，占0.51%</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909.70</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909.70</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356.8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334.81</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321.95</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12.86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21.99</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21.99</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4.50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3.50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1万元，原因是</w:t>
      </w:r>
      <w:r>
        <w:rPr>
          <w:rFonts w:hint="eastAsia" w:ascii="宋体" w:hAnsi="宋体" w:eastAsia="仿宋_GB2312" w:cs="Times New Roman"/>
          <w:sz w:val="32"/>
          <w:szCs w:val="32"/>
          <w:lang w:eastAsia="zh-CN"/>
        </w:rPr>
        <w:t>公车运行维护费节省；</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宋体" w:hAnsi="宋体" w:eastAsia="仿宋_GB2312" w:cs="Times New Roman"/>
          <w:sz w:val="32"/>
          <w:szCs w:val="32"/>
        </w:rPr>
        <w:t>增加</w:t>
      </w:r>
      <w:r>
        <w:rPr>
          <w:rFonts w:hint="eastAsia" w:ascii="仿宋" w:hAnsi="仿宋" w:eastAsia="仿宋" w:cs="仿宋"/>
          <w:spacing w:val="4"/>
          <w:sz w:val="32"/>
          <w:szCs w:val="32"/>
          <w:lang w:val="en-US" w:eastAsia="zh-CN"/>
        </w:rPr>
        <w:t>1.13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执行公务增多，公车老化，公车维护次数增加</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；公务用车运行维护费</w:t>
      </w:r>
      <w:r>
        <w:rPr>
          <w:rFonts w:hint="eastAsia" w:ascii="宋体" w:hAnsi="宋体" w:eastAsia="仿宋_GB2312" w:cs="Times New Roman"/>
          <w:sz w:val="32"/>
          <w:szCs w:val="32"/>
          <w:lang w:val="en-US" w:eastAsia="zh-CN"/>
        </w:rPr>
        <w:t>3.50</w:t>
      </w:r>
      <w:r>
        <w:rPr>
          <w:rFonts w:hint="eastAsia" w:ascii="宋体" w:hAnsi="宋体" w:eastAsia="仿宋_GB2312" w:cs="Times New Roman"/>
          <w:sz w:val="32"/>
          <w:szCs w:val="32"/>
        </w:rPr>
        <w:t>万元，比上年增加</w:t>
      </w:r>
      <w:r>
        <w:rPr>
          <w:rFonts w:hint="eastAsia" w:ascii="仿宋" w:hAnsi="仿宋" w:eastAsia="仿宋" w:cs="仿宋"/>
          <w:spacing w:val="4"/>
          <w:sz w:val="32"/>
          <w:szCs w:val="32"/>
          <w:lang w:val="en-US" w:eastAsia="zh-CN"/>
        </w:rPr>
        <w:t>1.13</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w:t>
      </w:r>
      <w:r>
        <w:rPr>
          <w:rFonts w:hint="eastAsia" w:ascii="宋体" w:hAnsi="宋体" w:eastAsia="仿宋_GB2312" w:cs="Times New Roman"/>
          <w:sz w:val="32"/>
          <w:szCs w:val="32"/>
          <w:lang w:val="en-US" w:eastAsia="zh-CN"/>
        </w:rPr>
        <w:t>执行公务增多，公车老化，公车维护次数增加</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与上年相比无变化</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我单位无</w:t>
      </w:r>
      <w:r>
        <w:rPr>
          <w:rFonts w:hint="eastAsia" w:ascii="宋体" w:hAnsi="宋体" w:eastAsia="仿宋_GB2312" w:cs="Times New Roman"/>
          <w:sz w:val="32"/>
          <w:szCs w:val="32"/>
        </w:rPr>
        <w:t>政府性基金预算财政拨款</w:t>
      </w:r>
      <w:r>
        <w:rPr>
          <w:rFonts w:hint="eastAsia" w:ascii="宋体" w:hAnsi="宋体" w:eastAsia="仿宋_GB2312" w:cs="Times New Roman"/>
          <w:sz w:val="32"/>
          <w:szCs w:val="32"/>
          <w:lang w:eastAsia="zh-CN"/>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21.99</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348.88</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94.07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2021年统计口径变化，未将项目支出列入机关运行经费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10</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10</w:t>
      </w:r>
      <w:r>
        <w:rPr>
          <w:rFonts w:hint="eastAsia" w:ascii="宋体" w:hAnsi="宋体" w:eastAsia="仿宋_GB2312" w:cs="Times New Roman"/>
          <w:sz w:val="32"/>
          <w:szCs w:val="32"/>
        </w:rPr>
        <w:t>万元。</w:t>
      </w:r>
      <w:bookmarkStart w:id="22" w:name="_GoBack"/>
      <w:bookmarkEnd w:id="22"/>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val="en-US" w:eastAsia="zh-CN"/>
        </w:rPr>
        <w:t>2021年我单位</w:t>
      </w:r>
      <w:r>
        <w:rPr>
          <w:rFonts w:hint="eastAsia" w:ascii="宋体" w:hAnsi="宋体" w:eastAsia="仿宋_GB2312" w:cs="Times New Roman"/>
          <w:sz w:val="32"/>
          <w:szCs w:val="32"/>
        </w:rPr>
        <w:t>本未开展绩效管理工作。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E115DFD"/>
    <w:rsid w:val="11D27EAE"/>
    <w:rsid w:val="20D97C1B"/>
    <w:rsid w:val="23553F43"/>
    <w:rsid w:val="299664C8"/>
    <w:rsid w:val="3F28132A"/>
    <w:rsid w:val="49221B6F"/>
    <w:rsid w:val="637C5F88"/>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6</TotalTime>
  <ScaleCrop>false</ScaleCrop>
  <LinksUpToDate>false</LinksUpToDate>
  <CharactersWithSpaces>3558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2022-10-21T09:37:50Z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