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朔州市朔城区工业和信息化局（部门）</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1、</w:t>
      </w:r>
      <w:r>
        <w:rPr>
          <w:rFonts w:hint="eastAsia" w:ascii="宋体" w:hAnsi="宋体" w:eastAsia="仿宋_GB2312" w:cs="Times New Roman"/>
          <w:sz w:val="32"/>
          <w:szCs w:val="32"/>
          <w:lang w:eastAsia="zh-CN"/>
        </w:rPr>
        <w:t>贯彻执行国家、省、市工业和信息化工作的法律法规和方针政策，研究起草工业和信息化地方性相关政策并组织实施</w:t>
      </w:r>
      <w:r>
        <w:rPr>
          <w:rFonts w:hint="eastAsia" w:ascii="宋体" w:hAnsi="宋体" w:eastAsia="仿宋_GB2312" w:cs="Times New Roman"/>
          <w:sz w:val="32"/>
          <w:szCs w:val="32"/>
        </w:rPr>
        <w:t>。</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2、</w:t>
      </w:r>
      <w:r>
        <w:rPr>
          <w:rFonts w:hint="eastAsia" w:ascii="宋体" w:hAnsi="宋体" w:eastAsia="仿宋_GB2312" w:cs="Times New Roman"/>
          <w:sz w:val="32"/>
          <w:szCs w:val="32"/>
          <w:lang w:eastAsia="zh-CN"/>
        </w:rPr>
        <w:t>组织实施全区工业和信息化发展规划，协调解决工业高质量转型发展进程中的重大问题，推进产业结构战略性调整和优化升级，推进信息化和工业化融合。</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3、</w:t>
      </w:r>
      <w:r>
        <w:rPr>
          <w:rFonts w:hint="eastAsia" w:ascii="宋体" w:hAnsi="宋体" w:eastAsia="仿宋_GB2312" w:cs="Times New Roman"/>
          <w:sz w:val="32"/>
          <w:szCs w:val="32"/>
          <w:lang w:eastAsia="zh-CN"/>
        </w:rPr>
        <w:t>提出工业和信息化领域固定资产投资规模和方向的建议，负责全区工业和信息化财政性资金安排使用工作。</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负责培育发展全区战略性新兴产业，承担全区新材料、原材料、装备制造、消费品和电子信息等行业管理和产业促进工作。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5、负责全区工业和信息化领域经济技术对外交流合作工作。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6、区工业和信息化局作为全区工业和信息化行业管理部门，主要负责管规划、管政策、管标准、指导行业发展。要坚持政企分开的原则，不干预企业生产经营活动。充分发挥行业协会和社会总介组织的作用。</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7、供销社是党和政府以合作经济组织形式推动“三农” 工作的重要载体，是新形势下推动农村经济社会不可替代、 不可或重要力量。</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8、供销社是独具中国特色的组织和服务体系，既有事业 和社团组织的特点，又履行管理社有企业的职责。</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9、供销社组织成份多元，资产构成多样。既体现党和政 府的政策导向，又承担政府委托的公益性服务。</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10、供销社要办成以农民为基础的合作经济组织，开展市 场化经营和农业社会化服务，达到为农民增收致富的目的。</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11、供销社要创新农业生产服务方式和手段，提升农产品 流通服务水平。</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12、供销社要打造城乡社区综合服务平台，稳步开展农村 合作金融服务。</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13、宣传贯彻落实党和国家对集体经济的法律、法规和方针、政策</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14、对山西省城镇集体工业联合社拟定的全省城镇集体经济地方性 法规和政策贯彻执行并进行监督检查</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15、制定城区城镇集体经济的发展规划，协调解决城镇集体经济改 革发展中遇到的各种困难和问题，依法维护城镇集体经济组织及职工的 合法权益</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16、对城镇集体企业进行改革，落实好改革政策，管理好集体资产， 解决好职工安置问题</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17、加强同各级集体经济组织的交流与合作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18、承担全区手工业（手工艺） 和工艺美术行业管理工作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19、为全区的企业培训人才。</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20、负责</w:t>
      </w:r>
      <w:r>
        <w:rPr>
          <w:rFonts w:hint="eastAsia" w:ascii="宋体" w:hAnsi="宋体" w:eastAsia="仿宋_GB2312" w:cs="Times New Roman"/>
          <w:sz w:val="32"/>
          <w:szCs w:val="32"/>
          <w:lang w:eastAsia="zh-CN"/>
        </w:rPr>
        <w:t>原国企办所属单位和企业改造遗留问题处置、集体资产管理等工作</w:t>
      </w:r>
      <w:r>
        <w:rPr>
          <w:rFonts w:hint="eastAsia" w:ascii="宋体" w:hAnsi="宋体" w:eastAsia="仿宋_GB2312" w:cs="Times New Roman"/>
          <w:sz w:val="32"/>
          <w:szCs w:val="32"/>
        </w:rPr>
        <w:t>。</w:t>
      </w:r>
    </w:p>
    <w:p>
      <w:pPr>
        <w:spacing w:line="204" w:lineRule="auto"/>
        <w:ind w:firstLine="640" w:firstLineChars="200"/>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lang w:eastAsia="zh-CN"/>
        </w:rPr>
        <w:t>负责原国企办及系统的离退休人员管理服务等工作。</w:t>
      </w:r>
    </w:p>
    <w:p>
      <w:pPr>
        <w:spacing w:line="204" w:lineRule="auto"/>
        <w:ind w:firstLine="640" w:firstLineChars="200"/>
        <w:jc w:val="left"/>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22、贯彻执行党中央、国务院和省、市、区关于发展中小企业方针政策和法律法规，协调有关部门研究提出扶持全区中小企业发展的政策，并组织实施。</w:t>
      </w:r>
    </w:p>
    <w:p>
      <w:pPr>
        <w:spacing w:line="204" w:lineRule="auto"/>
        <w:ind w:firstLine="640" w:firstLineChars="200"/>
        <w:jc w:val="left"/>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23、贯彻执行国家和省、市、区产业政策，指导和推进中小企业产业结构的调整，指导全区中小企业创业创新发展。        24、协调解决中小企业融资的有关问题，研究提出区政府扶持中小企业资金的筹集、管理、使用建议，指导中小企业发展基金和区级财政扶持中小企业专项资金的使用，并向有关部门推荐、申报相关资金项目。</w:t>
      </w:r>
    </w:p>
    <w:p>
      <w:pPr>
        <w:spacing w:line="204" w:lineRule="auto"/>
        <w:ind w:firstLine="640" w:firstLineChars="200"/>
        <w:jc w:val="left"/>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25、指导中小企业融资上市工作；促进建立和发展中小企业产权及相关要素市场，指导中小企业的股份制改造；指导中小微企业创业基地建设，建立和完善创业辅导体系，改善创业环境，配合有关部门做好再就业工作。</w:t>
      </w:r>
    </w:p>
    <w:p>
      <w:pPr>
        <w:spacing w:line="204" w:lineRule="auto"/>
        <w:ind w:firstLine="640" w:firstLineChars="200"/>
        <w:jc w:val="left"/>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26、指导全区中小企业经营管理人员和职工的教育培训及人才引进工作；组织中小企业开展国内外经济技术交流与合作；指导中小企业外资引进、利用工作。</w:t>
      </w:r>
    </w:p>
    <w:p>
      <w:pPr>
        <w:spacing w:line="204" w:lineRule="auto"/>
        <w:ind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27、指导中小企业服务体系建设，规范为中小企业提供服务的各类中介组织工作;扶持各类公益性中介服务机构发展；协调落实中小企业获得政府采购份额的有关工作。</w:t>
      </w:r>
    </w:p>
    <w:p>
      <w:pPr>
        <w:keepNext w:val="0"/>
        <w:keepLines w:val="0"/>
        <w:pageBreakBefore w:val="0"/>
        <w:kinsoku/>
        <w:wordWrap/>
        <w:overflowPunct/>
        <w:topLinePunct w:val="0"/>
        <w:autoSpaceDE/>
        <w:autoSpaceDN/>
        <w:bidi w:val="0"/>
        <w:adjustRightInd/>
        <w:snapToGrid/>
        <w:spacing w:line="240" w:lineRule="auto"/>
        <w:ind w:firstLine="667"/>
        <w:jc w:val="left"/>
        <w:textAlignment w:val="auto"/>
        <w:rPr>
          <w:rFonts w:ascii="仿宋" w:hAnsi="仿宋" w:eastAsia="仿宋" w:cs="仿宋"/>
          <w:sz w:val="32"/>
          <w:szCs w:val="32"/>
        </w:rPr>
      </w:pPr>
      <w:r>
        <w:rPr>
          <w:rFonts w:hint="eastAsia" w:ascii="仿宋" w:hAnsi="仿宋" w:eastAsia="仿宋" w:cs="仿宋"/>
          <w:i w:val="0"/>
          <w:caps w:val="0"/>
          <w:color w:val="000000"/>
          <w:spacing w:val="0"/>
          <w:kern w:val="0"/>
          <w:sz w:val="32"/>
          <w:szCs w:val="32"/>
          <w:lang w:val="en-US" w:eastAsia="zh-CN" w:bidi="ar"/>
        </w:rPr>
        <w:t>28、承办区委、区政府交办的其他事项。</w:t>
      </w:r>
      <w:r>
        <w:rPr>
          <w:rFonts w:hint="eastAsia" w:ascii="宋体" w:hAnsi="宋体" w:eastAsia="仿宋_GB2312" w:cs="Times New Roman"/>
          <w:sz w:val="32"/>
          <w:szCs w:val="32"/>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4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color w:val="auto"/>
          <w:sz w:val="30"/>
          <w:szCs w:val="30"/>
          <w:highlight w:val="none"/>
          <w:lang w:eastAsia="zh-CN"/>
        </w:rPr>
        <w:t>我单位和部门设置</w:t>
      </w:r>
      <w:r>
        <w:rPr>
          <w:rFonts w:hint="eastAsia" w:ascii="仿宋" w:hAnsi="仿宋" w:eastAsia="仿宋" w:cs="仿宋"/>
          <w:b w:val="0"/>
          <w:bCs/>
          <w:color w:val="auto"/>
          <w:sz w:val="30"/>
          <w:szCs w:val="30"/>
          <w:highlight w:val="none"/>
          <w:lang w:val="en-US" w:eastAsia="zh-CN"/>
        </w:rPr>
        <w:t>18个</w:t>
      </w:r>
      <w:r>
        <w:rPr>
          <w:rFonts w:hint="eastAsia" w:ascii="仿宋" w:hAnsi="仿宋" w:eastAsia="仿宋" w:cs="仿宋"/>
          <w:b w:val="0"/>
          <w:bCs/>
          <w:color w:val="auto"/>
          <w:sz w:val="30"/>
          <w:szCs w:val="30"/>
          <w:highlight w:val="none"/>
          <w:lang w:eastAsia="zh-CN"/>
        </w:rPr>
        <w:t>股室，分别是：</w:t>
      </w:r>
      <w:r>
        <w:rPr>
          <w:rFonts w:hint="eastAsia" w:ascii="仿宋" w:hAnsi="仿宋" w:eastAsia="仿宋" w:cs="仿宋"/>
          <w:b w:val="0"/>
          <w:bCs/>
          <w:color w:val="auto"/>
          <w:sz w:val="30"/>
          <w:szCs w:val="30"/>
          <w:highlight w:val="none"/>
          <w:lang w:val="en-US" w:eastAsia="zh-CN"/>
        </w:rPr>
        <w:t>1、</w:t>
      </w:r>
      <w:r>
        <w:rPr>
          <w:rFonts w:hint="eastAsia" w:ascii="仿宋" w:hAnsi="仿宋" w:eastAsia="仿宋" w:cs="仿宋"/>
          <w:b w:val="0"/>
          <w:bCs/>
          <w:sz w:val="30"/>
          <w:szCs w:val="30"/>
          <w:lang w:val="en-US" w:eastAsia="zh-CN"/>
        </w:rPr>
        <w:t>综合股</w:t>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sz w:val="30"/>
          <w:szCs w:val="30"/>
          <w:lang w:val="en-US" w:eastAsia="zh-CN"/>
        </w:rPr>
        <w:t>工业运行与信息化推进股</w:t>
      </w: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sz w:val="30"/>
          <w:szCs w:val="30"/>
          <w:lang w:val="en-US" w:eastAsia="zh-CN"/>
        </w:rPr>
        <w:t>投资规划股4、技术创新股；5、节能与综合利用；6、财务室</w:t>
      </w:r>
      <w:r>
        <w:rPr>
          <w:rFonts w:hint="eastAsia" w:ascii="仿宋" w:hAnsi="仿宋" w:eastAsia="仿宋" w:cs="仿宋"/>
          <w:b w:val="0"/>
          <w:bCs/>
          <w:color w:val="auto"/>
          <w:sz w:val="30"/>
          <w:szCs w:val="30"/>
          <w:highlight w:val="none"/>
          <w:lang w:val="en-US" w:eastAsia="zh-CN"/>
        </w:rPr>
        <w:t>：7、办公室；8、党务科；9、办公室；10、劳资科；11、财务科；12、办公室；13、财务科。</w:t>
      </w:r>
    </w:p>
    <w:p>
      <w:pPr>
        <w:pStyle w:val="2"/>
        <w:ind w:left="0" w:leftChars="0" w:firstLine="0" w:firstLineChars="0"/>
        <w:rPr>
          <w:rFonts w:hint="eastAsia"/>
          <w:lang w:val="en-US"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rPr>
        <w:t>秘书股、</w:t>
      </w:r>
      <w:r>
        <w:rPr>
          <w:rFonts w:hint="eastAsia" w:ascii="仿宋" w:hAnsi="仿宋" w:eastAsia="仿宋" w:cs="仿宋"/>
          <w:sz w:val="32"/>
          <w:szCs w:val="32"/>
          <w:lang w:val="en-US" w:eastAsia="zh-CN"/>
        </w:rPr>
        <w:t>15、</w:t>
      </w:r>
      <w:r>
        <w:rPr>
          <w:rFonts w:hint="eastAsia" w:ascii="仿宋" w:hAnsi="仿宋" w:eastAsia="仿宋" w:cs="仿宋"/>
          <w:sz w:val="32"/>
          <w:szCs w:val="32"/>
        </w:rPr>
        <w:t>政策法规股、</w:t>
      </w:r>
      <w:r>
        <w:rPr>
          <w:rFonts w:hint="eastAsia" w:ascii="仿宋" w:hAnsi="仿宋" w:eastAsia="仿宋" w:cs="仿宋"/>
          <w:sz w:val="32"/>
          <w:szCs w:val="32"/>
          <w:lang w:val="en-US" w:eastAsia="zh-CN"/>
        </w:rPr>
        <w:t>16、</w:t>
      </w:r>
      <w:r>
        <w:rPr>
          <w:rFonts w:hint="eastAsia" w:ascii="仿宋" w:hAnsi="仿宋" w:eastAsia="仿宋" w:cs="仿宋"/>
          <w:sz w:val="32"/>
          <w:szCs w:val="32"/>
        </w:rPr>
        <w:t>经济监测股、</w:t>
      </w:r>
      <w:r>
        <w:rPr>
          <w:rFonts w:hint="eastAsia" w:ascii="仿宋" w:hAnsi="仿宋" w:eastAsia="仿宋" w:cs="仿宋"/>
          <w:sz w:val="32"/>
          <w:szCs w:val="32"/>
          <w:lang w:val="en-US" w:eastAsia="zh-CN"/>
        </w:rPr>
        <w:t>17、</w:t>
      </w:r>
      <w:r>
        <w:rPr>
          <w:rFonts w:hint="eastAsia" w:ascii="仿宋" w:hAnsi="仿宋" w:eastAsia="仿宋" w:cs="仿宋"/>
          <w:sz w:val="32"/>
          <w:szCs w:val="32"/>
        </w:rPr>
        <w:t>新型工业化股、</w:t>
      </w:r>
      <w:r>
        <w:rPr>
          <w:rFonts w:hint="eastAsia" w:ascii="仿宋" w:hAnsi="仿宋" w:eastAsia="仿宋" w:cs="仿宋"/>
          <w:sz w:val="32"/>
          <w:szCs w:val="32"/>
          <w:lang w:val="en-US" w:eastAsia="zh-CN"/>
        </w:rPr>
        <w:t>18、</w:t>
      </w:r>
      <w:r>
        <w:rPr>
          <w:rFonts w:hint="eastAsia" w:ascii="仿宋" w:hAnsi="仿宋" w:eastAsia="仿宋" w:cs="仿宋"/>
          <w:sz w:val="32"/>
          <w:szCs w:val="32"/>
        </w:rPr>
        <w:t>服务体系建设股。</w:t>
      </w:r>
    </w:p>
    <w:p>
      <w:pPr>
        <w:numPr>
          <w:ilvl w:val="0"/>
          <w:numId w:val="2"/>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综合股，负责机关日常运转，承担机关文秘、政务信息、应急值守、保密、劳资、财务等工作。</w:t>
      </w:r>
    </w:p>
    <w:p>
      <w:pPr>
        <w:numPr>
          <w:ilvl w:val="0"/>
          <w:numId w:val="2"/>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工业运行与信息化推进股，负责电子信息产业促进和行业管理工作。</w:t>
      </w:r>
    </w:p>
    <w:p>
      <w:pPr>
        <w:numPr>
          <w:ilvl w:val="0"/>
          <w:numId w:val="2"/>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投资规划股，负责企业技术改造工作，并组织实施。负责全区新型工业化产业示范基地、工业园区、信息产业园区的宏观指导和综合管理工作。</w:t>
      </w:r>
    </w:p>
    <w:p>
      <w:pPr>
        <w:numPr>
          <w:ilvl w:val="0"/>
          <w:numId w:val="2"/>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技术创新股，指导协调产业技术创新体系和技术创新能力建设，指导企业技术中心建设。</w:t>
      </w:r>
    </w:p>
    <w:p>
      <w:pPr>
        <w:numPr>
          <w:ilvl w:val="0"/>
          <w:numId w:val="2"/>
        </w:numPr>
        <w:spacing w:line="800" w:lineRule="exact"/>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sz w:val="30"/>
          <w:szCs w:val="30"/>
          <w:lang w:val="en-US" w:eastAsia="zh-CN"/>
        </w:rPr>
        <w:t>节能与综合利用股，负责全区工业和信息化领域节能工作。</w:t>
      </w:r>
    </w:p>
    <w:p>
      <w:pPr>
        <w:numPr>
          <w:ilvl w:val="0"/>
          <w:numId w:val="2"/>
        </w:numPr>
        <w:spacing w:line="800" w:lineRule="exact"/>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sz w:val="30"/>
          <w:szCs w:val="30"/>
          <w:lang w:val="en-US" w:eastAsia="zh-CN"/>
        </w:rPr>
        <w:t>财务室</w:t>
      </w:r>
      <w:r>
        <w:rPr>
          <w:rFonts w:hint="eastAsia" w:ascii="仿宋" w:hAnsi="仿宋" w:eastAsia="仿宋" w:cs="仿宋"/>
          <w:b w:val="0"/>
          <w:bCs/>
          <w:color w:val="auto"/>
          <w:kern w:val="2"/>
          <w:sz w:val="30"/>
          <w:szCs w:val="30"/>
          <w:highlight w:val="none"/>
          <w:lang w:val="en-US" w:eastAsia="zh-CN" w:bidi="ar-SA"/>
        </w:rPr>
        <w:t>, 负责本单位</w:t>
      </w:r>
      <w:r>
        <w:rPr>
          <w:rFonts w:hint="eastAsia" w:ascii="仿宋" w:hAnsi="仿宋" w:eastAsia="仿宋" w:cs="仿宋"/>
          <w:b w:val="0"/>
          <w:bCs/>
          <w:sz w:val="30"/>
          <w:szCs w:val="30"/>
          <w:lang w:val="en-US" w:eastAsia="zh-CN"/>
        </w:rPr>
        <w:t>机关日常运转，承担机关文秘、劳资、财务等工作。</w:t>
      </w:r>
    </w:p>
    <w:p>
      <w:pPr>
        <w:numPr>
          <w:ilvl w:val="0"/>
          <w:numId w:val="2"/>
        </w:numPr>
        <w:spacing w:line="800" w:lineRule="exact"/>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sz w:val="30"/>
          <w:szCs w:val="30"/>
          <w:lang w:val="en-US" w:eastAsia="zh-CN"/>
        </w:rPr>
        <w:t>办公室，</w:t>
      </w:r>
      <w:r>
        <w:rPr>
          <w:rFonts w:hint="eastAsia" w:ascii="仿宋" w:hAnsi="仿宋" w:eastAsia="仿宋" w:cs="仿宋"/>
          <w:b w:val="0"/>
          <w:bCs/>
          <w:color w:val="auto"/>
          <w:kern w:val="2"/>
          <w:sz w:val="30"/>
          <w:szCs w:val="30"/>
          <w:highlight w:val="none"/>
          <w:lang w:val="en-US" w:eastAsia="zh-CN" w:bidi="ar-SA"/>
        </w:rPr>
        <w:t>负责本单位</w:t>
      </w:r>
      <w:r>
        <w:rPr>
          <w:rFonts w:hint="eastAsia" w:ascii="仿宋" w:hAnsi="仿宋" w:eastAsia="仿宋" w:cs="仿宋"/>
          <w:b w:val="0"/>
          <w:bCs/>
          <w:sz w:val="30"/>
          <w:szCs w:val="30"/>
          <w:lang w:val="en-US" w:eastAsia="zh-CN"/>
        </w:rPr>
        <w:t>建立健全机关各项规章制度，负责单位干部人事、培训全区的企业人才。</w:t>
      </w:r>
    </w:p>
    <w:p>
      <w:pPr>
        <w:numPr>
          <w:ilvl w:val="0"/>
          <w:numId w:val="0"/>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8、党务科： 负责党员办理党员，负责单位党建信息网管理工作， 做好信息更新、咨询事项的答复、网上基层支部生活的组织协调监督管理。</w:t>
      </w:r>
    </w:p>
    <w:p>
      <w:pPr>
        <w:numPr>
          <w:ilvl w:val="0"/>
          <w:numId w:val="0"/>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9、办公室： 负责文秘档案、电话管理、会议安排、上传下达、对 外宣传、来客接待，负责各项制度、决议的督办落实，搞好综合服务， 当好领导参谋。</w:t>
      </w:r>
    </w:p>
    <w:p>
      <w:pPr>
        <w:numPr>
          <w:ilvl w:val="0"/>
          <w:numId w:val="0"/>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10、劳资科： 负责工资调整、职称评审。</w:t>
      </w:r>
    </w:p>
    <w:p>
      <w:pPr>
        <w:numPr>
          <w:ilvl w:val="0"/>
          <w:numId w:val="0"/>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11、财务科： 负责收费、财务收支计划管理。</w:t>
      </w:r>
    </w:p>
    <w:p>
      <w:pPr>
        <w:numPr>
          <w:ilvl w:val="0"/>
          <w:numId w:val="0"/>
        </w:numPr>
        <w:spacing w:line="80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12、办公室： 负责文秘档案、电话管理、会议安排、上传下达、对外宣传、来客接待，负责各项制度、决议的督办落 实，搞好综合服务，当好领导参谋。</w:t>
      </w:r>
    </w:p>
    <w:p>
      <w:pPr>
        <w:numPr>
          <w:ilvl w:val="0"/>
          <w:numId w:val="0"/>
        </w:numPr>
        <w:spacing w:line="800" w:lineRule="exact"/>
        <w:ind w:firstLine="600" w:firstLineChars="200"/>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sz w:val="30"/>
          <w:szCs w:val="30"/>
          <w:lang w:val="en-US" w:eastAsia="zh-CN"/>
        </w:rPr>
        <w:t>13、财务科： 负责工资调整、职称评审、财务收支计划管</w:t>
      </w:r>
      <w:r>
        <w:rPr>
          <w:rFonts w:hint="eastAsia" w:ascii="仿宋" w:hAnsi="仿宋" w:eastAsia="仿宋" w:cs="仿宋"/>
          <w:b w:val="0"/>
          <w:bCs/>
          <w:color w:val="auto"/>
          <w:kern w:val="2"/>
          <w:sz w:val="30"/>
          <w:szCs w:val="30"/>
          <w:highlight w:val="none"/>
          <w:lang w:val="en-US" w:eastAsia="zh-CN" w:bidi="ar-SA"/>
        </w:rPr>
        <w:t xml:space="preserve">                                                       </w:t>
      </w:r>
    </w:p>
    <w:p>
      <w:pPr>
        <w:numPr>
          <w:ilvl w:val="0"/>
          <w:numId w:val="0"/>
        </w:numPr>
        <w:spacing w:line="800" w:lineRule="exact"/>
        <w:ind w:firstLine="600" w:firstLineChars="200"/>
        <w:rPr>
          <w:rFonts w:ascii="宋体" w:hAnsi="宋体" w:eastAsia="仿宋_GB2312" w:cs="Times New Roman"/>
          <w:sz w:val="32"/>
          <w:szCs w:val="32"/>
        </w:rPr>
      </w:pPr>
      <w:r>
        <w:rPr>
          <w:rFonts w:hint="eastAsia" w:ascii="仿宋" w:hAnsi="仿宋" w:eastAsia="仿宋" w:cs="仿宋"/>
          <w:b w:val="0"/>
          <w:bCs/>
          <w:color w:val="auto"/>
          <w:sz w:val="30"/>
          <w:szCs w:val="30"/>
          <w:highlight w:val="none"/>
          <w:lang w:eastAsia="zh-CN"/>
        </w:rPr>
        <w:t>我单位为一级单位，下属二级单位</w:t>
      </w:r>
      <w:r>
        <w:rPr>
          <w:rFonts w:hint="eastAsia" w:ascii="仿宋" w:hAnsi="仿宋" w:eastAsia="仿宋" w:cs="仿宋"/>
          <w:b w:val="0"/>
          <w:bCs/>
          <w:color w:val="auto"/>
          <w:sz w:val="30"/>
          <w:szCs w:val="30"/>
          <w:highlight w:val="none"/>
          <w:lang w:val="en-US" w:eastAsia="zh-CN"/>
        </w:rPr>
        <w:t>4个,</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下</w:t>
      </w:r>
      <w:r>
        <w:rPr>
          <w:rFonts w:hint="eastAsia" w:ascii="宋体" w:hAnsi="宋体" w:eastAsia="仿宋_GB2312" w:cs="Times New Roman"/>
          <w:sz w:val="32"/>
          <w:szCs w:val="32"/>
        </w:rPr>
        <w:t>属</w:t>
      </w:r>
      <w:r>
        <w:rPr>
          <w:rFonts w:hint="eastAsia" w:ascii="宋体" w:hAnsi="宋体" w:eastAsia="仿宋_GB2312" w:cs="Times New Roman"/>
          <w:sz w:val="32"/>
          <w:szCs w:val="32"/>
          <w:lang w:eastAsia="zh-CN"/>
        </w:rPr>
        <w:t>二极</w:t>
      </w:r>
      <w:r>
        <w:rPr>
          <w:rFonts w:hint="eastAsia" w:ascii="宋体" w:hAnsi="宋体" w:eastAsia="仿宋_GB2312" w:cs="Times New Roman"/>
          <w:sz w:val="32"/>
          <w:szCs w:val="32"/>
        </w:rPr>
        <w:t>单位决算。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1888.32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1888.32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746.67</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746.67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小企业发展服务中心</w:t>
      </w:r>
      <w:r>
        <w:rPr>
          <w:rFonts w:hint="eastAsia" w:ascii="宋体" w:hAnsi="宋体" w:eastAsia="仿宋_GB2312" w:cs="Times New Roman"/>
          <w:sz w:val="32"/>
          <w:szCs w:val="32"/>
          <w:lang w:val="en-US" w:eastAsia="zh-CN"/>
        </w:rPr>
        <w:t>2021年增加了对阿里巴巴旗下驻朔公司杰瑞兴达公司的财政补贴额。工信局</w:t>
      </w:r>
      <w:r>
        <w:rPr>
          <w:rFonts w:hint="eastAsia" w:ascii="宋体" w:hAnsi="宋体" w:eastAsia="仿宋_GB2312" w:cs="Times New Roman"/>
          <w:sz w:val="32"/>
          <w:szCs w:val="32"/>
          <w:lang w:eastAsia="zh-CN"/>
        </w:rPr>
        <w:t>卫生健康疫情防控项目增加</w:t>
      </w:r>
      <w:r>
        <w:rPr>
          <w:rFonts w:hint="eastAsia" w:ascii="宋体" w:hAnsi="宋体" w:eastAsia="仿宋_GB2312" w:cs="Times New Roman"/>
          <w:sz w:val="32"/>
          <w:szCs w:val="32"/>
          <w:lang w:val="en-US" w:eastAsia="zh-CN"/>
        </w:rPr>
        <w:t>535.35万元，给企业奖励资金增加24.15万元，汽车销售奖励资金增加24.6万元，关于下达2021年中央企业及原中央下放企业退休人员社会化管理补助资金增加6.78万元，朔州市财政局关于下达2021年新动能专项资金（第一批）增加76万元，减少抗疫国债31.6万元。人员调入，经费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1888.25</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1888.19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0.06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1888.25</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629.95</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1258.3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1888.25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1888.25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746.67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65.40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小企业发展服务中心</w:t>
      </w:r>
      <w:r>
        <w:rPr>
          <w:rFonts w:hint="eastAsia" w:ascii="宋体" w:hAnsi="宋体" w:eastAsia="仿宋_GB2312" w:cs="Times New Roman"/>
          <w:sz w:val="32"/>
          <w:szCs w:val="32"/>
          <w:lang w:val="en-US" w:eastAsia="zh-CN"/>
        </w:rPr>
        <w:t>2021年增加了对阿里巴巴旗下驻朔公司杰瑞兴达公司的财政补贴额。工信局</w:t>
      </w:r>
      <w:r>
        <w:rPr>
          <w:rFonts w:hint="eastAsia" w:ascii="宋体" w:hAnsi="宋体" w:eastAsia="仿宋_GB2312" w:cs="Times New Roman"/>
          <w:sz w:val="32"/>
          <w:szCs w:val="32"/>
          <w:lang w:eastAsia="zh-CN"/>
        </w:rPr>
        <w:t>卫生健康疫情防控项目增加</w:t>
      </w:r>
      <w:r>
        <w:rPr>
          <w:rFonts w:hint="eastAsia" w:ascii="宋体" w:hAnsi="宋体" w:eastAsia="仿宋_GB2312" w:cs="Times New Roman"/>
          <w:sz w:val="32"/>
          <w:szCs w:val="32"/>
          <w:lang w:val="en-US" w:eastAsia="zh-CN"/>
        </w:rPr>
        <w:t>535.35万元，给企业奖励资金增加24.15万元，汽车销售奖励资金增加24.6万元，关于下达2021年中央企业及原中央下放企业退休人员社会化管理补助资金增加6.78万元，朔州市财政局关于下达2021年新动能专项资金（第一批）增加76万元，减少抗疫国债31.6万元。人员调入，经费增加。</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1835.77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784.92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小企业发展服务中心</w:t>
      </w:r>
      <w:r>
        <w:rPr>
          <w:rFonts w:hint="eastAsia" w:ascii="宋体" w:hAnsi="宋体" w:eastAsia="仿宋_GB2312" w:cs="Times New Roman"/>
          <w:sz w:val="32"/>
          <w:szCs w:val="32"/>
          <w:lang w:val="en-US" w:eastAsia="zh-CN"/>
        </w:rPr>
        <w:t>2021年增加了对阿里巴巴旗下驻朔公司杰瑞兴达公司的财政补贴额。工信局</w:t>
      </w:r>
      <w:r>
        <w:rPr>
          <w:rFonts w:hint="eastAsia" w:ascii="宋体" w:hAnsi="宋体" w:eastAsia="仿宋_GB2312" w:cs="Times New Roman"/>
          <w:sz w:val="32"/>
          <w:szCs w:val="32"/>
          <w:lang w:eastAsia="zh-CN"/>
        </w:rPr>
        <w:t>卫生健康疫情防控项目增加</w:t>
      </w:r>
      <w:r>
        <w:rPr>
          <w:rFonts w:hint="eastAsia" w:ascii="宋体" w:hAnsi="宋体" w:eastAsia="仿宋_GB2312" w:cs="Times New Roman"/>
          <w:sz w:val="32"/>
          <w:szCs w:val="32"/>
          <w:lang w:val="en-US" w:eastAsia="zh-CN"/>
        </w:rPr>
        <w:t>535.35万元，给企业奖励资金增加24.15万元，汽车销售奖励资金增加24.6万元，关于下达2021年中央企业及原中央下放企业退休人员社会化管理补助资金增加6.78万元，朔州市财政局关于下达2021年新动能专项资金（第一批）增加76万元，减少抗疫国债31.6万元。人员调入，经费增加。</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1835.77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2010401行政运行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240.48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13.10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2010402一般行政管理事务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149.88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8.16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2069999其他科学技术</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76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4.14</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2080801死亡抚恤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41.86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2.28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2100410突发公共卫生事件应急处理</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536.11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29.20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2150201行政运行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40.38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占</w:t>
      </w:r>
      <w:r>
        <w:rPr>
          <w:rFonts w:hint="eastAsia" w:ascii="宋体" w:hAnsi="宋体" w:eastAsia="仿宋_GB2312" w:cs="Times New Roman"/>
          <w:sz w:val="32"/>
          <w:szCs w:val="32"/>
          <w:lang w:val="en-US" w:eastAsia="zh-CN"/>
        </w:rPr>
        <w:t>2.20%，2150203机关服务支出38.85万元，</w:t>
      </w:r>
      <w:r>
        <w:rPr>
          <w:rFonts w:hint="eastAsia" w:ascii="宋体" w:hAnsi="宋体" w:eastAsia="仿宋_GB2312" w:cs="Times New Roman"/>
          <w:sz w:val="32"/>
          <w:szCs w:val="32"/>
          <w:lang w:eastAsia="zh-CN"/>
        </w:rPr>
        <w:t>占</w:t>
      </w:r>
      <w:r>
        <w:rPr>
          <w:rFonts w:hint="eastAsia" w:ascii="宋体" w:hAnsi="宋体" w:eastAsia="仿宋_GB2312" w:cs="Times New Roman"/>
          <w:sz w:val="32"/>
          <w:szCs w:val="32"/>
          <w:lang w:val="en-US" w:eastAsia="zh-CN"/>
        </w:rPr>
        <w:t>2.12%，2150801行政运行支出21万元，</w:t>
      </w:r>
      <w:r>
        <w:rPr>
          <w:rFonts w:hint="eastAsia" w:ascii="宋体" w:hAnsi="宋体" w:eastAsia="仿宋_GB2312" w:cs="Times New Roman"/>
          <w:sz w:val="32"/>
          <w:szCs w:val="32"/>
          <w:lang w:eastAsia="zh-CN"/>
        </w:rPr>
        <w:t>占</w:t>
      </w:r>
      <w:r>
        <w:rPr>
          <w:rFonts w:hint="eastAsia" w:ascii="宋体" w:hAnsi="宋体" w:eastAsia="仿宋_GB2312" w:cs="Times New Roman"/>
          <w:sz w:val="32"/>
          <w:szCs w:val="32"/>
          <w:lang w:val="en-US" w:eastAsia="zh-CN"/>
        </w:rPr>
        <w:t>1.14%，2150802一般行政管理事务支出99.46万元，</w:t>
      </w:r>
      <w:r>
        <w:rPr>
          <w:rFonts w:hint="eastAsia" w:ascii="宋体" w:hAnsi="宋体" w:eastAsia="仿宋_GB2312" w:cs="Times New Roman"/>
          <w:sz w:val="32"/>
          <w:szCs w:val="32"/>
          <w:lang w:eastAsia="zh-CN"/>
        </w:rPr>
        <w:t>占</w:t>
      </w:r>
      <w:r>
        <w:rPr>
          <w:rFonts w:hint="eastAsia" w:ascii="宋体" w:hAnsi="宋体" w:eastAsia="仿宋_GB2312" w:cs="Times New Roman"/>
          <w:sz w:val="32"/>
          <w:szCs w:val="32"/>
          <w:lang w:val="en-US" w:eastAsia="zh-CN"/>
        </w:rPr>
        <w:t>5.42%，2150803机关服务支出140.9万元，占7.68%，2150805中小企业发展专项支出224.18万元，占12.21%，2150899其他支持中小企业发展和管理支出48.15万元，占2.62%，2160201行政运行支出3.9万元，占0.21%，2160202一般行政管理事务支出5万元，占0.27%，2160203机关服务支出139.02万元，占7.57%，2169999其他商业服务业等支出24.6万元，占1.34%，2299999其他支出6万元，占0.33</w:t>
      </w:r>
      <w:bookmarkStart w:id="20" w:name="_GoBack"/>
      <w:bookmarkEnd w:id="20"/>
      <w:r>
        <w:rPr>
          <w:rFonts w:hint="eastAsia" w:ascii="宋体" w:hAnsi="宋体" w:eastAsia="仿宋_GB2312" w:cs="Times New Roman"/>
          <w:sz w:val="32"/>
          <w:szCs w:val="32"/>
          <w:lang w:val="en-US"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1835.77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1835.77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629.95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568.63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404.07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164.56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61.32</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61.32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numPr>
          <w:ilvl w:val="0"/>
          <w:numId w:val="0"/>
        </w:numPr>
        <w:spacing w:line="204" w:lineRule="auto"/>
        <w:ind w:firstLine="640" w:firstLineChars="200"/>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2.9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0.56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，原因是本年度公车维修较少，维修费用降低。</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2.9</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0.56</w:t>
      </w:r>
      <w:r>
        <w:rPr>
          <w:rFonts w:hint="eastAsia" w:ascii="宋体" w:hAnsi="宋体" w:eastAsia="仿宋_GB2312" w:cs="Times New Roman"/>
          <w:sz w:val="32"/>
          <w:szCs w:val="32"/>
        </w:rPr>
        <w:t>万元，原因是</w:t>
      </w:r>
      <w:r>
        <w:rPr>
          <w:rFonts w:ascii="宋体" w:hAnsi="宋体" w:eastAsia="仿宋_GB2312" w:cs="Times New Roman"/>
          <w:sz w:val="32"/>
          <w:szCs w:val="32"/>
        </w:rPr>
        <w:t>本年度公车维修较少，维修费用降低</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p>
    <w:p>
      <w:pPr>
        <w:numPr>
          <w:ilvl w:val="0"/>
          <w:numId w:val="0"/>
        </w:numPr>
        <w:spacing w:line="204" w:lineRule="auto"/>
        <w:jc w:val="left"/>
        <w:rPr>
          <w:rFonts w:ascii="楷体" w:hAnsi="楷体" w:eastAsia="楷体" w:cs="楷体"/>
          <w:spacing w:val="-3"/>
          <w:sz w:val="32"/>
          <w:szCs w:val="32"/>
        </w:rPr>
      </w:pPr>
      <w:r>
        <w:rPr>
          <w:rFonts w:hint="eastAsia" w:ascii="宋体" w:hAnsi="宋体" w:eastAsia="仿宋_GB2312" w:cs="Times New Roman"/>
          <w:sz w:val="32"/>
          <w:szCs w:val="32"/>
          <w:lang w:eastAsia="zh-CN"/>
        </w:rPr>
        <w:t>八、</w:t>
      </w: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度无</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w:t>
      </w:r>
    </w:p>
    <w:p>
      <w:pPr>
        <w:numPr>
          <w:ilvl w:val="0"/>
          <w:numId w:val="0"/>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lang w:eastAsia="zh-CN"/>
        </w:rPr>
        <w:t>九、</w:t>
      </w: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48.82</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w:t>
      </w:r>
      <w:r>
        <w:rPr>
          <w:rFonts w:hint="eastAsia" w:ascii="宋体" w:hAnsi="宋体" w:eastAsia="仿宋_GB2312" w:cs="Times New Roman"/>
          <w:sz w:val="32"/>
          <w:szCs w:val="32"/>
          <w:lang w:val="en-US" w:eastAsia="zh-CN"/>
        </w:rPr>
        <w:t>10.96</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28.95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疫情防控工作量加大，办公费增加</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4.3</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4.3</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2021年未</w:t>
      </w:r>
      <w:r>
        <w:rPr>
          <w:rFonts w:hint="eastAsia" w:ascii="宋体" w:hAnsi="宋体" w:eastAsia="仿宋_GB2312" w:cs="Times New Roman"/>
          <w:sz w:val="32"/>
          <w:szCs w:val="32"/>
        </w:rPr>
        <w:t>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8549_WPSOffice_Level1"/>
      <w:bookmarkStart w:id="19"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E15"/>
    <w:multiLevelType w:val="singleLevel"/>
    <w:tmpl w:val="32CD2E15"/>
    <w:lvl w:ilvl="0" w:tentative="0">
      <w:start w:val="1"/>
      <w:numFmt w:val="chineseCounting"/>
      <w:suff w:val="nothing"/>
      <w:lvlText w:val="（%1）"/>
      <w:lvlJc w:val="left"/>
      <w:rPr>
        <w:rFonts w:hint="eastAsia"/>
      </w:rPr>
    </w:lvl>
  </w:abstractNum>
  <w:abstractNum w:abstractNumId="1">
    <w:nsid w:val="40B6F801"/>
    <w:multiLevelType w:val="singleLevel"/>
    <w:tmpl w:val="40B6F801"/>
    <w:lvl w:ilvl="0" w:tentative="0">
      <w:start w:val="4"/>
      <w:numFmt w:val="decimal"/>
      <w:lvlText w:val="%1."/>
      <w:lvlJc w:val="left"/>
      <w:pPr>
        <w:tabs>
          <w:tab w:val="left" w:pos="312"/>
        </w:tabs>
      </w:pPr>
    </w:lvl>
  </w:abstractNum>
  <w:abstractNum w:abstractNumId="2">
    <w:nsid w:val="42787019"/>
    <w:multiLevelType w:val="singleLevel"/>
    <w:tmpl w:val="42787019"/>
    <w:lvl w:ilvl="0" w:tentative="0">
      <w:start w:val="1"/>
      <w:numFmt w:val="decimal"/>
      <w:suff w:val="nothing"/>
      <w:lvlText w:val="%1、"/>
      <w:lvlJc w:val="left"/>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GZiMmM0OWYxZGYzYzA1YjFjYTMzMTk5NTRiMzcifQ=="/>
  </w:docVars>
  <w:rsids>
    <w:rsidRoot w:val="7E3F0B7D"/>
    <w:rsid w:val="000014A7"/>
    <w:rsid w:val="00052B5B"/>
    <w:rsid w:val="00774AFB"/>
    <w:rsid w:val="00E4217F"/>
    <w:rsid w:val="042C0EBC"/>
    <w:rsid w:val="0E115DFD"/>
    <w:rsid w:val="11D27EAE"/>
    <w:rsid w:val="13166FBF"/>
    <w:rsid w:val="1330668A"/>
    <w:rsid w:val="15761F97"/>
    <w:rsid w:val="1D8B1114"/>
    <w:rsid w:val="20D97C1B"/>
    <w:rsid w:val="221B63A0"/>
    <w:rsid w:val="23553F43"/>
    <w:rsid w:val="2468640D"/>
    <w:rsid w:val="24F66C50"/>
    <w:rsid w:val="257F6618"/>
    <w:rsid w:val="25F71EBD"/>
    <w:rsid w:val="26284BE7"/>
    <w:rsid w:val="299664C8"/>
    <w:rsid w:val="2BFA7026"/>
    <w:rsid w:val="2CB13B5D"/>
    <w:rsid w:val="2D9E7E85"/>
    <w:rsid w:val="2F0C58B5"/>
    <w:rsid w:val="31644F41"/>
    <w:rsid w:val="33024A12"/>
    <w:rsid w:val="36BD75CE"/>
    <w:rsid w:val="3DD60F75"/>
    <w:rsid w:val="3E4E4FAF"/>
    <w:rsid w:val="3EC55271"/>
    <w:rsid w:val="3F1446D3"/>
    <w:rsid w:val="3F28132A"/>
    <w:rsid w:val="49221B6F"/>
    <w:rsid w:val="4CAE3158"/>
    <w:rsid w:val="4FF37764"/>
    <w:rsid w:val="5444113F"/>
    <w:rsid w:val="58694A68"/>
    <w:rsid w:val="5B6E0559"/>
    <w:rsid w:val="5CB52971"/>
    <w:rsid w:val="62B72874"/>
    <w:rsid w:val="6544153D"/>
    <w:rsid w:val="68CD37BD"/>
    <w:rsid w:val="6AFA60C1"/>
    <w:rsid w:val="6C940C35"/>
    <w:rsid w:val="6EE43F0B"/>
    <w:rsid w:val="72181581"/>
    <w:rsid w:val="74493C73"/>
    <w:rsid w:val="765406AD"/>
    <w:rsid w:val="7B3665D4"/>
    <w:rsid w:val="7D9B4F57"/>
    <w:rsid w:val="7E3F0B7D"/>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5505</Words>
  <Characters>6049</Characters>
  <Lines>5</Lines>
  <Paragraphs>7</Paragraphs>
  <TotalTime>24</TotalTime>
  <ScaleCrop>false</ScaleCrop>
  <LinksUpToDate>false</LinksUpToDate>
  <CharactersWithSpaces>6195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2022-10-20T13:26:56Z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FE617CAE82FB423995525CBD382E4EDF</vt:lpwstr>
  </property>
</Properties>
</file>