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朔州市朔城区工业和信息化局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1、贯彻执行国家经济和信息化工作的法律、法规、规章和方针、政策，研究起草经济和信息化规范性文件草案和相关政策并组织实施。</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2、协调解决全区新型工业化进程中的重大问题，拟定并组织实施工业和信息化的发展规划，推进产业结构战略性调整和优化升级，推进信息化和工业化融合。</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3、制定并组织实施全区工业和信息化的行业规划和产业政策，提出优化产业布局、结构的政策建议，拟定行业技术规范和标准并组织实施，指导行业质量管理工作。</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lang w:eastAsia="zh-CN"/>
        </w:rPr>
        <w:t xml:space="preserve">4、监测分析经济运行态势，进行预测预警和信息引导，协调解决经济运行中的重大问题并提出政策和建议。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8</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个单位。从预算单位构成看，</w:t>
      </w:r>
      <w:r>
        <w:rPr>
          <w:rFonts w:hint="eastAsia" w:ascii="宋体" w:hAnsi="宋体" w:eastAsia="仿宋_GB2312" w:cs="Times New Roman"/>
          <w:sz w:val="32"/>
          <w:szCs w:val="32"/>
          <w:lang w:eastAsia="zh-CN"/>
        </w:rPr>
        <w:t>朔州市朔城区工业和信息化局</w:t>
      </w:r>
      <w:r>
        <w:rPr>
          <w:rFonts w:hint="eastAsia" w:ascii="宋体" w:hAnsi="宋体" w:eastAsia="仿宋_GB2312" w:cs="Times New Roman"/>
          <w:sz w:val="32"/>
          <w:szCs w:val="32"/>
        </w:rPr>
        <w:t>部门决算包括：本级决算</w:t>
      </w:r>
      <w:r>
        <w:rPr>
          <w:rFonts w:hint="eastAsia" w:ascii="宋体" w:hAnsi="宋体" w:eastAsia="仿宋_GB2312" w:cs="Times New Roman"/>
          <w:sz w:val="32"/>
          <w:szCs w:val="32"/>
          <w:lang w:eastAsia="zh-CN"/>
        </w:rPr>
        <w:t>。</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1131.7</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1131.7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629.08</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629.08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卫生健康疫情防控项目增加</w:t>
      </w:r>
      <w:r>
        <w:rPr>
          <w:rFonts w:hint="eastAsia" w:ascii="宋体" w:hAnsi="宋体" w:eastAsia="仿宋_GB2312" w:cs="Times New Roman"/>
          <w:sz w:val="32"/>
          <w:szCs w:val="32"/>
          <w:lang w:val="en-US" w:eastAsia="zh-CN"/>
        </w:rPr>
        <w:t>535.35万元，给企业奖励资金增加24.15万元，汽车销售奖励资金增加24.6万元，关于下达2021年中央企业及原中央下放企业退休人员社会化管理补助资金增加6.78万元，朔州市财政局关于下达2021年新动能专项资金（第一批）增加76万元，减少抗疫国债31.6万元。</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1131.64</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1131.64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1131.7</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240.48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891.22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ind w:firstLine="640" w:firstLineChars="200"/>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1131.7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1131.7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629.08</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125.16</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卫生健康疫情防控项目增加</w:t>
      </w:r>
      <w:r>
        <w:rPr>
          <w:rFonts w:hint="eastAsia" w:ascii="宋体" w:hAnsi="宋体" w:eastAsia="仿宋_GB2312" w:cs="Times New Roman"/>
          <w:sz w:val="32"/>
          <w:szCs w:val="32"/>
          <w:lang w:val="en-US" w:eastAsia="zh-CN"/>
        </w:rPr>
        <w:t>535.35万元，给企业奖励资金增加24.15万元，汽车销售奖励资金增加24.6万元，关于下达2021年中央企业及原中央下放企业退休人员社会化管理补助资金增加6.78万元，朔州市财政局关于下达2021年新动能专项资金（第一批）增加76万元，减少抗疫国债31.6万元。</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1079.22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653.98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卫生健康疫情防控项目增加</w:t>
      </w:r>
      <w:r>
        <w:rPr>
          <w:rFonts w:hint="eastAsia" w:ascii="宋体" w:hAnsi="宋体" w:eastAsia="仿宋_GB2312" w:cs="Times New Roman"/>
          <w:sz w:val="32"/>
          <w:szCs w:val="32"/>
          <w:lang w:val="en-US" w:eastAsia="zh-CN"/>
        </w:rPr>
        <w:t>535.35万元，给企业奖励资金增加24.15万元，汽车销售奖励资金增加24.6万元，关于下达2021年中央企业及原中央下放企业退休人员社会化管理补助资金增加6.78万元，朔州市财政局关于下达2021年新动能专项资金（第一批）增加76万元，减少抗议国债31.6万元。</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1079.22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2010401行政运行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240.48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22.28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2010402一般行政管理事务支出149.88万元，占13.89%，2069999其他科学技术</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76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7.04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2100401</w:t>
      </w:r>
      <w:r>
        <w:rPr>
          <w:rFonts w:hint="eastAsia" w:ascii="宋体" w:hAnsi="宋体" w:eastAsia="仿宋_GB2312" w:cs="Times New Roman"/>
          <w:sz w:val="32"/>
          <w:szCs w:val="32"/>
          <w:lang w:eastAsia="zh-CN"/>
        </w:rPr>
        <w:t xml:space="preserve">  突发公共卫生事件应急处理支出</w:t>
      </w:r>
      <w:r>
        <w:rPr>
          <w:rFonts w:hint="eastAsia" w:ascii="宋体" w:hAnsi="宋体" w:eastAsia="仿宋_GB2312" w:cs="Times New Roman"/>
          <w:sz w:val="32"/>
          <w:szCs w:val="32"/>
          <w:lang w:val="en-US" w:eastAsia="zh-CN"/>
        </w:rPr>
        <w:t>536.11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49.68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2150899</w:t>
      </w:r>
      <w:r>
        <w:rPr>
          <w:rFonts w:hint="eastAsia" w:ascii="宋体" w:hAnsi="宋体" w:eastAsia="仿宋_GB2312" w:cs="Times New Roman"/>
          <w:sz w:val="32"/>
          <w:szCs w:val="32"/>
          <w:lang w:eastAsia="zh-CN"/>
        </w:rPr>
        <w:t xml:space="preserve"> 其他支持中小企业发展和管理支出</w:t>
      </w:r>
      <w:r>
        <w:rPr>
          <w:rFonts w:hint="eastAsia" w:ascii="宋体" w:hAnsi="宋体" w:eastAsia="仿宋_GB2312" w:cs="Times New Roman"/>
          <w:sz w:val="32"/>
          <w:szCs w:val="32"/>
          <w:lang w:val="en-US" w:eastAsia="zh-CN"/>
        </w:rPr>
        <w:t>48.15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4.46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2169999</w:t>
      </w:r>
      <w:r>
        <w:rPr>
          <w:rFonts w:hint="eastAsia" w:ascii="宋体" w:hAnsi="宋体" w:eastAsia="仿宋_GB2312" w:cs="Times New Roman"/>
          <w:sz w:val="32"/>
          <w:szCs w:val="32"/>
          <w:lang w:eastAsia="zh-CN"/>
        </w:rPr>
        <w:t xml:space="preserve"> 其他商业服务业等支出</w:t>
      </w:r>
      <w:r>
        <w:rPr>
          <w:rFonts w:hint="eastAsia" w:ascii="宋体" w:hAnsi="宋体" w:eastAsia="仿宋_GB2312" w:cs="Times New Roman"/>
          <w:sz w:val="32"/>
          <w:szCs w:val="32"/>
          <w:lang w:val="en-US" w:eastAsia="zh-CN"/>
        </w:rPr>
        <w:t>24.6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2.28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w:t>
      </w:r>
      <w:r>
        <w:rPr>
          <w:rFonts w:hint="eastAsia" w:ascii="宋体" w:hAnsi="宋体" w:eastAsia="仿宋_GB2312" w:cs="Times New Roman"/>
          <w:sz w:val="32"/>
          <w:szCs w:val="32"/>
          <w:lang w:eastAsia="zh-CN"/>
        </w:rPr>
        <w:t>其他</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0.37</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1079.22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1079.22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240.48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191.66</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173.33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18.33</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48.82</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48.82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0.56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，原因是本年度公车维修较少，维修费用降低。</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0.56</w:t>
      </w:r>
      <w:r>
        <w:rPr>
          <w:rFonts w:hint="eastAsia" w:ascii="宋体" w:hAnsi="宋体" w:eastAsia="仿宋_GB2312" w:cs="Times New Roman"/>
          <w:sz w:val="32"/>
          <w:szCs w:val="32"/>
        </w:rPr>
        <w:t>万元，原因是</w:t>
      </w:r>
      <w:r>
        <w:rPr>
          <w:rFonts w:ascii="宋体" w:hAnsi="宋体" w:eastAsia="仿宋_GB2312" w:cs="Times New Roman"/>
          <w:sz w:val="32"/>
          <w:szCs w:val="32"/>
        </w:rPr>
        <w:t>本年度公车维修较少，维修费用降低</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度无</w:t>
      </w:r>
      <w:r>
        <w:rPr>
          <w:rFonts w:hint="eastAsia" w:ascii="宋体" w:hAnsi="宋体" w:eastAsia="仿宋_GB2312" w:cs="Times New Roman"/>
          <w:sz w:val="32"/>
          <w:szCs w:val="32"/>
        </w:rPr>
        <w:t>政府性基金</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48.82</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年增加</w:t>
      </w:r>
      <w:r>
        <w:rPr>
          <w:rFonts w:hint="eastAsia" w:ascii="宋体" w:hAnsi="宋体" w:eastAsia="仿宋_GB2312" w:cs="Times New Roman"/>
          <w:sz w:val="32"/>
          <w:szCs w:val="32"/>
          <w:lang w:val="en-US" w:eastAsia="zh-CN"/>
        </w:rPr>
        <w:t>10.96</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28.95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疫情防控工作量加大，办公费用增加</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3.96</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3.96</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2021年未</w:t>
      </w:r>
      <w:bookmarkStart w:id="22" w:name="_GoBack"/>
      <w:bookmarkEnd w:id="22"/>
      <w:r>
        <w:rPr>
          <w:rFonts w:hint="eastAsia" w:ascii="宋体" w:hAnsi="宋体" w:eastAsia="仿宋_GB2312" w:cs="Times New Roman"/>
          <w:sz w:val="32"/>
          <w:szCs w:val="32"/>
        </w:rPr>
        <w:t>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GZiMmM0OWYxZGYzYzA1YjFjYTMzMTk5NTRiMzcifQ=="/>
  </w:docVars>
  <w:rsids>
    <w:rsidRoot w:val="7E3F0B7D"/>
    <w:rsid w:val="000014A7"/>
    <w:rsid w:val="00052B5B"/>
    <w:rsid w:val="00774AFB"/>
    <w:rsid w:val="00E4217F"/>
    <w:rsid w:val="051967A2"/>
    <w:rsid w:val="08245D4E"/>
    <w:rsid w:val="0E115DFD"/>
    <w:rsid w:val="11D27EAE"/>
    <w:rsid w:val="147A4443"/>
    <w:rsid w:val="174F0070"/>
    <w:rsid w:val="1BAD3870"/>
    <w:rsid w:val="20D97C1B"/>
    <w:rsid w:val="23553F43"/>
    <w:rsid w:val="24301D56"/>
    <w:rsid w:val="299664C8"/>
    <w:rsid w:val="2C972AC7"/>
    <w:rsid w:val="2D8E0270"/>
    <w:rsid w:val="33E53007"/>
    <w:rsid w:val="3A4B21E3"/>
    <w:rsid w:val="3D8E211A"/>
    <w:rsid w:val="3ECF2DCF"/>
    <w:rsid w:val="3F28132A"/>
    <w:rsid w:val="410C2683"/>
    <w:rsid w:val="49221B6F"/>
    <w:rsid w:val="505C7D79"/>
    <w:rsid w:val="524625B9"/>
    <w:rsid w:val="59017396"/>
    <w:rsid w:val="59232E69"/>
    <w:rsid w:val="5DE66B5A"/>
    <w:rsid w:val="5E5314DA"/>
    <w:rsid w:val="5ED12869"/>
    <w:rsid w:val="618239B2"/>
    <w:rsid w:val="61BB4CAB"/>
    <w:rsid w:val="6544153D"/>
    <w:rsid w:val="68CD37BD"/>
    <w:rsid w:val="6C940C35"/>
    <w:rsid w:val="6CCA621A"/>
    <w:rsid w:val="783E1615"/>
    <w:rsid w:val="79D7355B"/>
    <w:rsid w:val="7CD462BC"/>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3338</Words>
  <Characters>3698</Characters>
  <Lines>5</Lines>
  <Paragraphs>7</Paragraphs>
  <TotalTime>12</TotalTime>
  <ScaleCrop>false</ScaleCrop>
  <LinksUpToDate>false</LinksUpToDate>
  <CharactersWithSpaces>3757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2022-10-20T11:37:36Z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D8E45CB38F8A44809D201F44799DCF9A</vt:lpwstr>
  </property>
</Properties>
</file>