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lang w:val="en-US" w:eastAsia="zh-CN"/>
        </w:rPr>
        <w:t>朔城区小微企业发展服务中心</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keepNext w:val="0"/>
        <w:keepLines w:val="0"/>
        <w:widowControl/>
        <w:suppressLineNumbers w:val="0"/>
        <w:spacing w:before="100" w:beforeAutospacing="1" w:after="100" w:afterAutospacing="1"/>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1、贯彻执行党中央、国务院和省、市、区关于发展中小企业方针政策和法律法规，协调有关部门研究提出扶持全区中小企业发展的政策，并组织实施。</w:t>
      </w:r>
    </w:p>
    <w:p>
      <w:pPr>
        <w:keepNext w:val="0"/>
        <w:keepLines w:val="0"/>
        <w:widowControl/>
        <w:suppressLineNumbers w:val="0"/>
        <w:spacing w:before="100" w:beforeAutospacing="1" w:after="100" w:afterAutospacing="1"/>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2、贯彻执行国家和省、市、区产业政策，指导和推进中小企业产业结构的调整，指导全区中小企业创业创新发展。</w:t>
      </w:r>
    </w:p>
    <w:p>
      <w:pPr>
        <w:keepNext w:val="0"/>
        <w:keepLines w:val="0"/>
        <w:widowControl/>
        <w:suppressLineNumbers w:val="0"/>
        <w:spacing w:before="100" w:beforeAutospacing="1" w:after="100" w:afterAutospacing="1"/>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3、协调解决中小企业融资的有关问题，研究提出区政府扶持中小企业资金的筹集、管理、使用建议，指导中小企业发展基金和区级财政扶持中小企业专项资金的使用，并向有关部门推荐、申报相关资金项目。</w:t>
      </w:r>
    </w:p>
    <w:p>
      <w:pPr>
        <w:keepNext w:val="0"/>
        <w:keepLines w:val="0"/>
        <w:widowControl/>
        <w:suppressLineNumbers w:val="0"/>
        <w:spacing w:before="100" w:beforeAutospacing="1" w:after="100" w:afterAutospacing="1"/>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4、指导中小企业融资上市工作；促进建立和发展中小企业产权及相关要素市场，指导中小企业的股份制改造；指导中小微企业创业基地建设，建立和完善创业辅导体系，改善创业环境，配合有关部门做好再就业工作。</w:t>
      </w:r>
    </w:p>
    <w:p>
      <w:pPr>
        <w:keepNext w:val="0"/>
        <w:keepLines w:val="0"/>
        <w:widowControl/>
        <w:suppressLineNumbers w:val="0"/>
        <w:spacing w:before="100" w:beforeAutospacing="1" w:after="100" w:afterAutospacing="1"/>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5、指导全区中小企业经营管理人员和职工的教育培训及人才引进工作；组织中小企业开展国内外经济技术交流与合作；指导中小企业外资引进、利用工作。</w:t>
      </w:r>
    </w:p>
    <w:p>
      <w:pPr>
        <w:keepNext w:val="0"/>
        <w:keepLines w:val="0"/>
        <w:widowControl/>
        <w:suppressLineNumbers w:val="0"/>
        <w:spacing w:before="100" w:beforeAutospacing="1" w:after="100" w:afterAutospacing="1" w:line="568"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6、指导中小企业服务体系建设，规范为中小企业提供服务的各类中介组织工作;扶持各类公益性中介服务机构发展；协调落实中小企业获得政府采购份额的有关工作。</w:t>
      </w:r>
    </w:p>
    <w:p>
      <w:pPr>
        <w:keepNext w:val="0"/>
        <w:keepLines w:val="0"/>
        <w:widowControl/>
        <w:suppressLineNumbers w:val="0"/>
        <w:spacing w:before="100" w:beforeAutospacing="1" w:after="100" w:afterAutospacing="1"/>
        <w:ind w:left="0" w:right="0" w:firstLine="640"/>
        <w:jc w:val="left"/>
        <w:rPr>
          <w:rFonts w:hint="eastAsia" w:ascii="仿宋" w:hAnsi="仿宋" w:eastAsia="仿宋" w:cs="仿宋"/>
          <w:sz w:val="32"/>
          <w:szCs w:val="32"/>
        </w:rPr>
      </w:pPr>
      <w:r>
        <w:rPr>
          <w:rFonts w:hint="eastAsia" w:ascii="仿宋" w:hAnsi="仿宋" w:eastAsia="仿宋" w:cs="仿宋"/>
          <w:i w:val="0"/>
          <w:caps w:val="0"/>
          <w:color w:val="000000"/>
          <w:spacing w:val="0"/>
          <w:kern w:val="0"/>
          <w:sz w:val="32"/>
          <w:szCs w:val="32"/>
          <w:lang w:val="en-US" w:eastAsia="zh-CN" w:bidi="ar"/>
        </w:rPr>
        <w:t>7、承办区委、区政府交办的其他事项。</w:t>
      </w:r>
      <w:r>
        <w:rPr>
          <w:rFonts w:hint="eastAsia" w:ascii="仿宋" w:hAnsi="仿宋" w:eastAsia="仿宋" w:cs="仿宋"/>
          <w:sz w:val="32"/>
          <w:szCs w:val="32"/>
        </w:rPr>
        <w:t xml:space="preserve">                           </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960" w:firstLineChars="300"/>
        <w:jc w:val="left"/>
        <w:rPr>
          <w:rFonts w:hint="eastAsia" w:ascii="仿宋" w:hAnsi="仿宋" w:eastAsia="仿宋" w:cs="仿宋"/>
          <w:sz w:val="32"/>
          <w:szCs w:val="32"/>
          <w:lang w:eastAsia="zh-CN"/>
        </w:rPr>
      </w:pPr>
      <w:r>
        <w:rPr>
          <w:rFonts w:hint="eastAsia" w:ascii="仿宋" w:hAnsi="仿宋" w:eastAsia="仿宋" w:cs="仿宋"/>
          <w:sz w:val="32"/>
          <w:szCs w:val="32"/>
        </w:rPr>
        <w:t>本单位内设</w:t>
      </w:r>
      <w:r>
        <w:rPr>
          <w:rFonts w:hint="eastAsia" w:ascii="仿宋" w:hAnsi="仿宋" w:eastAsia="仿宋" w:cs="仿宋"/>
          <w:sz w:val="32"/>
          <w:szCs w:val="32"/>
          <w:lang w:val="en-US" w:eastAsia="zh-CN"/>
        </w:rPr>
        <w:t>5</w:t>
      </w:r>
      <w:r>
        <w:rPr>
          <w:rFonts w:hint="eastAsia" w:ascii="仿宋" w:hAnsi="仿宋" w:eastAsia="仿宋" w:cs="仿宋"/>
          <w:sz w:val="32"/>
          <w:szCs w:val="32"/>
        </w:rPr>
        <w:t>个</w:t>
      </w:r>
      <w:r>
        <w:rPr>
          <w:rFonts w:hint="eastAsia" w:ascii="仿宋" w:hAnsi="仿宋" w:eastAsia="仿宋" w:cs="仿宋"/>
          <w:sz w:val="32"/>
          <w:szCs w:val="32"/>
          <w:lang w:eastAsia="zh-CN"/>
        </w:rPr>
        <w:t>股</w:t>
      </w:r>
      <w:r>
        <w:rPr>
          <w:rFonts w:hint="eastAsia" w:ascii="仿宋" w:hAnsi="仿宋" w:eastAsia="仿宋" w:cs="仿宋"/>
          <w:sz w:val="32"/>
          <w:szCs w:val="32"/>
        </w:rPr>
        <w:t>室，分别是秘书股、政策法规股、经济监测股、新型工业化股、服务体系建设股。</w:t>
      </w:r>
      <w:r>
        <w:rPr>
          <w:rFonts w:hint="eastAsia" w:ascii="仿宋" w:hAnsi="仿宋" w:eastAsia="仿宋" w:cs="仿宋"/>
          <w:sz w:val="32"/>
          <w:szCs w:val="32"/>
          <w:lang w:eastAsia="zh-CN"/>
        </w:rPr>
        <w:t>无下属单位。</w:t>
      </w:r>
    </w:p>
    <w:p>
      <w:pPr>
        <w:pStyle w:val="2"/>
        <w:ind w:firstLine="960" w:firstLineChars="300"/>
        <w:rPr>
          <w:rFonts w:hint="eastAsia"/>
          <w:lang w:val="en-US" w:eastAsia="zh-CN"/>
        </w:rPr>
      </w:pPr>
      <w:r>
        <w:rPr>
          <w:rFonts w:hint="eastAsia" w:ascii="仿宋" w:hAnsi="仿宋" w:eastAsia="仿宋" w:cs="仿宋"/>
          <w:sz w:val="32"/>
          <w:szCs w:val="32"/>
          <w:lang w:eastAsia="zh-CN"/>
        </w:rPr>
        <w:t>从预算单位构成看，本单位部门决算只包括本级决算。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487.61</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487.61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99.65</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99.65</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2021年增加了对阿里巴巴旗下驻朔公司杰瑞兴达公司的财政补贴额。</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487.60</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487.54</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0.06</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487.54</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120.46</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367.08</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487.54</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487.54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99.58</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25.67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2021年增加了对阿里巴巴旗下驻朔公司杰瑞兴达公司的财政补贴额。</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487.54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113</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2021年增加了对阿里巴巴旗下驻朔公司杰瑞兴达公司的财政补贴额。</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487.54</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2150801行政运行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4.31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2150802一般行政管理事物</w:t>
      </w:r>
      <w:r>
        <w:rPr>
          <w:rFonts w:hint="eastAsia" w:ascii="宋体" w:hAnsi="宋体" w:eastAsia="仿宋_GB2312" w:cs="Times New Roman"/>
          <w:sz w:val="32"/>
          <w:szCs w:val="32"/>
        </w:rPr>
        <w:t>科目支出</w:t>
      </w:r>
      <w:r>
        <w:rPr>
          <w:rFonts w:hint="eastAsia" w:ascii="宋体" w:hAnsi="宋体" w:eastAsia="仿宋_GB2312" w:cs="Times New Roman"/>
          <w:sz w:val="32"/>
          <w:szCs w:val="32"/>
          <w:lang w:val="en-US" w:eastAsia="zh-CN"/>
        </w:rPr>
        <w:t>99.46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20.40</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2150803机关服务</w:t>
      </w:r>
      <w:r>
        <w:rPr>
          <w:rFonts w:hint="eastAsia" w:ascii="宋体" w:hAnsi="宋体" w:eastAsia="仿宋_GB2312" w:cs="Times New Roman"/>
          <w:sz w:val="32"/>
          <w:szCs w:val="32"/>
        </w:rPr>
        <w:t>科目支出</w:t>
      </w:r>
      <w:r>
        <w:rPr>
          <w:rFonts w:hint="eastAsia" w:ascii="宋体" w:hAnsi="宋体" w:eastAsia="仿宋_GB2312" w:cs="Times New Roman"/>
          <w:sz w:val="32"/>
          <w:szCs w:val="32"/>
          <w:lang w:val="en-US" w:eastAsia="zh-CN"/>
        </w:rPr>
        <w:t>140.90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28.90</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2150805中小企业发展专项224.18万元，占45.98% ；2299999其他（2020考核奖）2万元，占0.41%</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487.54</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487.54</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120.46</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117.16</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99.46</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17.7</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3.3</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3.3</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0.9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0.9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与同年预算相比无变化，与</w:t>
      </w:r>
      <w:r>
        <w:rPr>
          <w:rFonts w:hint="eastAsia" w:ascii="宋体" w:hAnsi="宋体" w:eastAsia="仿宋_GB2312" w:cs="Times New Roman"/>
          <w:sz w:val="32"/>
          <w:szCs w:val="32"/>
          <w:lang w:val="en-US" w:eastAsia="zh-CN"/>
        </w:rPr>
        <w:t>2020年决算数相比无变化。</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0.90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我单位为事业单位，</w:t>
      </w:r>
      <w:r>
        <w:rPr>
          <w:rFonts w:hint="eastAsia" w:ascii="宋体" w:hAnsi="宋体" w:eastAsia="仿宋_GB2312" w:cs="Times New Roman"/>
          <w:sz w:val="32"/>
          <w:szCs w:val="32"/>
        </w:rPr>
        <w:t>无机关运行经费。</w:t>
      </w:r>
    </w:p>
    <w:p>
      <w:pPr>
        <w:ind w:firstLine="640" w:firstLineChars="200"/>
        <w:rPr>
          <w:rFonts w:ascii="宋体" w:hAnsi="宋体" w:eastAsia="仿宋_GB2312" w:cs="Times New Roman"/>
          <w:sz w:val="32"/>
          <w:szCs w:val="32"/>
        </w:rPr>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0.35</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0.35</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w:t>
      </w:r>
      <w:bookmarkStart w:id="22" w:name="_GoBack"/>
      <w:bookmarkEnd w:id="22"/>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我单位本年度</w:t>
      </w:r>
      <w:r>
        <w:rPr>
          <w:rFonts w:hint="eastAsia" w:ascii="宋体" w:hAnsi="宋体" w:eastAsia="仿宋_GB2312" w:cs="Times New Roman"/>
          <w:sz w:val="32"/>
          <w:szCs w:val="32"/>
        </w:rPr>
        <w:t>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E115DFD"/>
    <w:rsid w:val="11D27EAE"/>
    <w:rsid w:val="18D01FCA"/>
    <w:rsid w:val="1B7359DC"/>
    <w:rsid w:val="20D97C1B"/>
    <w:rsid w:val="23553F43"/>
    <w:rsid w:val="299664C8"/>
    <w:rsid w:val="2D2E4F0E"/>
    <w:rsid w:val="30426E9C"/>
    <w:rsid w:val="30BE0223"/>
    <w:rsid w:val="3F28132A"/>
    <w:rsid w:val="48C84F6F"/>
    <w:rsid w:val="49221B6F"/>
    <w:rsid w:val="5B33439F"/>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2</TotalTime>
  <ScaleCrop>false</ScaleCrop>
  <LinksUpToDate>false</LinksUpToDate>
  <CharactersWithSpaces>3558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2022-10-20T11:01:49Z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