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8"/>
          <w:szCs w:val="48"/>
        </w:rPr>
      </w:pPr>
    </w:p>
    <w:p>
      <w:pPr>
        <w:jc w:val="center"/>
        <w:rPr>
          <w:rFonts w:hint="eastAsia" w:ascii="黑体" w:eastAsia="黑体"/>
          <w:sz w:val="44"/>
          <w:szCs w:val="44"/>
          <w:lang w:eastAsia="zh-CN"/>
        </w:rPr>
      </w:pPr>
      <w:r>
        <w:rPr>
          <w:rFonts w:hint="eastAsia" w:ascii="黑体" w:eastAsia="黑体"/>
          <w:sz w:val="44"/>
          <w:szCs w:val="44"/>
        </w:rPr>
        <w:t>朔州市朔城区应急管理局</w:t>
      </w:r>
      <w:r>
        <w:rPr>
          <w:rFonts w:hint="eastAsia" w:ascii="黑体" w:eastAsia="黑体"/>
          <w:sz w:val="44"/>
          <w:szCs w:val="44"/>
          <w:lang w:eastAsia="zh-CN"/>
        </w:rPr>
        <w:t>（部门）</w:t>
      </w:r>
    </w:p>
    <w:p>
      <w:pPr>
        <w:jc w:val="center"/>
        <w:rPr>
          <w:rFonts w:ascii="黑体" w:eastAsia="黑体"/>
          <w:sz w:val="44"/>
          <w:szCs w:val="44"/>
        </w:rPr>
      </w:pPr>
      <w:r>
        <w:rPr>
          <w:rFonts w:hint="eastAsia" w:ascii="黑体" w:eastAsia="黑体"/>
          <w:sz w:val="44"/>
          <w:szCs w:val="44"/>
        </w:rPr>
        <w:t>202</w:t>
      </w:r>
      <w:r>
        <w:rPr>
          <w:rFonts w:hint="eastAsia" w:ascii="黑体" w:eastAsia="黑体"/>
          <w:sz w:val="44"/>
          <w:szCs w:val="44"/>
          <w:lang w:val="en-US" w:eastAsia="zh-CN"/>
        </w:rPr>
        <w:t>1</w:t>
      </w:r>
      <w:r>
        <w:rPr>
          <w:rFonts w:hint="eastAsia" w:ascii="黑体" w:eastAsia="黑体"/>
          <w:sz w:val="44"/>
          <w:szCs w:val="44"/>
        </w:rPr>
        <w:t>年部门决算公开情况说明</w:t>
      </w:r>
    </w:p>
    <w:p>
      <w:pPr>
        <w:spacing w:line="360" w:lineRule="auto"/>
        <w:jc w:val="center"/>
        <w:rPr>
          <w:rFonts w:ascii="宋体" w:hAnsi="宋体" w:cs="宋体"/>
          <w:sz w:val="44"/>
          <w:szCs w:val="44"/>
        </w:rPr>
      </w:pPr>
      <w:bookmarkStart w:id="0" w:name="_Toc4691_WPSOffice_Level1"/>
      <w:bookmarkStart w:id="1" w:name="_Toc8044_WPSOffice_Level1"/>
    </w:p>
    <w:p>
      <w:pPr>
        <w:pStyle w:val="2"/>
      </w:pPr>
    </w:p>
    <w:p>
      <w:pPr>
        <w:spacing w:line="360" w:lineRule="auto"/>
        <w:jc w:val="center"/>
        <w:rPr>
          <w:rFonts w:ascii="宋体" w:hAnsi="宋体" w:cs="宋体"/>
          <w:sz w:val="44"/>
          <w:szCs w:val="44"/>
        </w:rPr>
      </w:pPr>
      <w:r>
        <w:rPr>
          <w:rFonts w:hint="eastAsia" w:ascii="宋体" w:hAnsi="宋体" w:cs="宋体"/>
          <w:sz w:val="44"/>
          <w:szCs w:val="44"/>
        </w:rPr>
        <w:t>目录</w:t>
      </w:r>
    </w:p>
    <w:p>
      <w:pPr>
        <w:pStyle w:val="8"/>
        <w:tabs>
          <w:tab w:val="right" w:leader="dot" w:pos="8336"/>
        </w:tabs>
        <w:spacing w:line="360" w:lineRule="auto"/>
        <w:ind w:firstLine="600" w:firstLineChars="200"/>
        <w:rPr>
          <w:rFonts w:ascii="宋体" w:hAnsi="宋体" w:cs="宋体"/>
          <w:b/>
          <w:sz w:val="30"/>
          <w:szCs w:val="30"/>
        </w:rPr>
      </w:pPr>
      <w:r>
        <w:rPr>
          <w:rFonts w:hint="eastAsia" w:ascii="宋体" w:hAnsi="宋体" w:cs="宋体"/>
          <w:sz w:val="30"/>
          <w:szCs w:val="30"/>
        </w:rPr>
        <w:fldChar w:fldCharType="begin"/>
      </w:r>
      <w:r>
        <w:rPr>
          <w:rFonts w:hint="eastAsia" w:ascii="宋体" w:hAnsi="宋体" w:cs="宋体"/>
          <w:sz w:val="30"/>
          <w:szCs w:val="30"/>
        </w:rPr>
        <w:instrText xml:space="preserve">TOC \o "1-2" \h \u </w:instrText>
      </w:r>
      <w:r>
        <w:rPr>
          <w:rFonts w:hint="eastAsia" w:ascii="宋体" w:hAnsi="宋体" w:cs="宋体"/>
          <w:sz w:val="30"/>
          <w:szCs w:val="30"/>
        </w:rPr>
        <w:fldChar w:fldCharType="separate"/>
      </w:r>
      <w:r>
        <w:fldChar w:fldCharType="begin"/>
      </w:r>
      <w:r>
        <w:instrText xml:space="preserve"> HYPERLINK \l "_Toc13618" </w:instrText>
      </w:r>
      <w:r>
        <w:fldChar w:fldCharType="separate"/>
      </w:r>
      <w:r>
        <w:fldChar w:fldCharType="end"/>
      </w:r>
      <w:r>
        <w:fldChar w:fldCharType="begin"/>
      </w:r>
      <w:r>
        <w:instrText xml:space="preserve"> HYPERLINK \l "_Toc5949" </w:instrText>
      </w:r>
      <w:r>
        <w:fldChar w:fldCharType="separate"/>
      </w:r>
      <w:r>
        <w:rPr>
          <w:rFonts w:hint="eastAsia" w:ascii="宋体" w:hAnsi="宋体" w:cs="宋体"/>
          <w:b/>
          <w:snapToGrid w:val="0"/>
          <w:spacing w:val="-4"/>
          <w:sz w:val="30"/>
          <w:szCs w:val="30"/>
        </w:rPr>
        <w:t>一、单位概况</w:t>
      </w:r>
      <w:r>
        <w:rPr>
          <w:rFonts w:hint="eastAsia" w:ascii="宋体" w:hAnsi="宋体" w:cs="宋体"/>
          <w:b/>
          <w:snapToGrid w:val="0"/>
          <w:spacing w:val="-4"/>
          <w:sz w:val="30"/>
          <w:szCs w:val="30"/>
        </w:rPr>
        <w:fldChar w:fldCharType="end"/>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（一）部门职责。</w:t>
      </w:r>
    </w:p>
    <w:p>
      <w:pPr>
        <w:pStyle w:val="9"/>
        <w:tabs>
          <w:tab w:val="right" w:leader="dot" w:pos="8336"/>
        </w:tabs>
        <w:spacing w:line="360" w:lineRule="auto"/>
        <w:ind w:left="420" w:firstLine="294" w:firstLineChars="100"/>
        <w:rPr>
          <w:rFonts w:ascii="宋体" w:hAnsi="宋体" w:cs="宋体"/>
          <w:spacing w:val="-3"/>
          <w:sz w:val="30"/>
          <w:szCs w:val="30"/>
        </w:rPr>
      </w:pPr>
      <w:r>
        <w:rPr>
          <w:rFonts w:hint="eastAsia" w:ascii="宋体" w:hAnsi="宋体" w:cs="宋体"/>
          <w:spacing w:val="-3"/>
          <w:sz w:val="30"/>
          <w:szCs w:val="30"/>
        </w:rPr>
        <w:t>（二）机构设置。</w:t>
      </w:r>
    </w:p>
    <w:p>
      <w:pPr>
        <w:pStyle w:val="8"/>
        <w:tabs>
          <w:tab w:val="right" w:leader="dot" w:pos="8336"/>
        </w:tabs>
        <w:spacing w:line="360" w:lineRule="auto"/>
        <w:ind w:firstLine="600" w:firstLineChars="300"/>
        <w:rPr>
          <w:rFonts w:ascii="宋体" w:hAnsi="宋体" w:cs="宋体"/>
          <w:b/>
          <w:sz w:val="30"/>
          <w:szCs w:val="30"/>
        </w:rPr>
      </w:pPr>
      <w:r>
        <w:fldChar w:fldCharType="begin"/>
      </w:r>
      <w:r>
        <w:instrText xml:space="preserve"> HYPERLINK \l "_Toc21204" </w:instrText>
      </w:r>
      <w:r>
        <w:fldChar w:fldCharType="separate"/>
      </w:r>
      <w:r>
        <w:rPr>
          <w:rFonts w:hint="eastAsia" w:ascii="宋体" w:hAnsi="宋体" w:cs="宋体"/>
          <w:b/>
          <w:snapToGrid w:val="0"/>
          <w:spacing w:val="-4"/>
          <w:sz w:val="30"/>
          <w:szCs w:val="30"/>
        </w:rPr>
        <w:t>二、</w:t>
      </w:r>
      <w:r>
        <w:rPr>
          <w:rFonts w:hint="eastAsia" w:ascii="宋体" w:hAnsi="宋体" w:cs="宋体"/>
          <w:b/>
          <w:snapToGrid w:val="0"/>
          <w:spacing w:val="-4"/>
          <w:sz w:val="30"/>
          <w:szCs w:val="30"/>
        </w:rPr>
        <w:fldChar w:fldCharType="end"/>
      </w:r>
      <w:r>
        <w:rPr>
          <w:rFonts w:hint="eastAsia" w:ascii="宋体" w:hAnsi="宋体" w:cs="宋体"/>
          <w:b/>
          <w:sz w:val="30"/>
          <w:szCs w:val="30"/>
        </w:rPr>
        <w:t>202</w:t>
      </w:r>
      <w:r>
        <w:rPr>
          <w:rFonts w:hint="eastAsia" w:ascii="宋体" w:hAnsi="宋体" w:cs="宋体"/>
          <w:b/>
          <w:sz w:val="30"/>
          <w:szCs w:val="30"/>
          <w:lang w:val="en-US" w:eastAsia="zh-CN"/>
        </w:rPr>
        <w:t>1</w:t>
      </w:r>
      <w:r>
        <w:rPr>
          <w:rFonts w:hint="eastAsia" w:ascii="宋体" w:hAnsi="宋体" w:cs="宋体"/>
          <w:b/>
          <w:sz w:val="30"/>
          <w:szCs w:val="30"/>
        </w:rPr>
        <w:t>年度部门决算公开报表</w:t>
      </w:r>
    </w:p>
    <w:p>
      <w:pPr>
        <w:pStyle w:val="8"/>
        <w:tabs>
          <w:tab w:val="right" w:leader="dot" w:pos="8336"/>
        </w:tabs>
        <w:spacing w:line="360" w:lineRule="auto"/>
        <w:ind w:firstLine="602" w:firstLineChars="200"/>
        <w:rPr>
          <w:rFonts w:ascii="宋体" w:hAnsi="宋体" w:cs="宋体"/>
          <w:b/>
          <w:sz w:val="30"/>
          <w:szCs w:val="30"/>
        </w:rPr>
      </w:pPr>
      <w:r>
        <w:rPr>
          <w:rFonts w:hint="eastAsia" w:ascii="宋体" w:hAnsi="宋体" w:cs="宋体"/>
          <w:b/>
          <w:sz w:val="30"/>
          <w:szCs w:val="30"/>
        </w:rPr>
        <w:t>三、202</w:t>
      </w:r>
      <w:r>
        <w:rPr>
          <w:rFonts w:hint="eastAsia" w:ascii="宋体" w:hAnsi="宋体" w:cs="宋体"/>
          <w:b/>
          <w:sz w:val="30"/>
          <w:szCs w:val="30"/>
          <w:lang w:val="en-US" w:eastAsia="zh-CN"/>
        </w:rPr>
        <w:t>1</w:t>
      </w:r>
      <w:r>
        <w:rPr>
          <w:rFonts w:hint="eastAsia" w:ascii="宋体" w:hAnsi="宋体" w:cs="宋体"/>
          <w:b/>
          <w:sz w:val="30"/>
          <w:szCs w:val="30"/>
        </w:rPr>
        <w:t>年度部门决算情况说明</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（一）</w:t>
      </w:r>
      <w:r>
        <w:fldChar w:fldCharType="begin"/>
      </w:r>
      <w:r>
        <w:instrText xml:space="preserve"> HYPERLINK \l "_Toc8341" </w:instrText>
      </w:r>
      <w:r>
        <w:fldChar w:fldCharType="separate"/>
      </w:r>
      <w:r>
        <w:rPr>
          <w:rFonts w:hint="eastAsia" w:ascii="宋体" w:hAnsi="宋体" w:cs="宋体"/>
          <w:spacing w:val="-3"/>
          <w:sz w:val="30"/>
          <w:szCs w:val="30"/>
        </w:rPr>
        <w:t>收入支出决算总体情况说明</w:t>
      </w:r>
      <w:r>
        <w:rPr>
          <w:rFonts w:hint="eastAsia" w:ascii="宋体" w:hAnsi="宋体" w:cs="宋体"/>
          <w:spacing w:val="-3"/>
          <w:sz w:val="30"/>
          <w:szCs w:val="30"/>
        </w:rPr>
        <w:fldChar w:fldCharType="end"/>
      </w:r>
      <w:r>
        <w:rPr>
          <w:rFonts w:hint="eastAsia" w:ascii="宋体" w:hAnsi="宋体" w:cs="宋体"/>
          <w:sz w:val="30"/>
          <w:szCs w:val="30"/>
        </w:rPr>
        <w:t>。</w:t>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（二）</w:t>
      </w:r>
      <w:r>
        <w:fldChar w:fldCharType="begin"/>
      </w:r>
      <w:r>
        <w:instrText xml:space="preserve"> HYPERLINK \l "_Toc748" </w:instrText>
      </w:r>
      <w:r>
        <w:fldChar w:fldCharType="separate"/>
      </w:r>
      <w:r>
        <w:rPr>
          <w:rFonts w:hint="eastAsia" w:ascii="宋体" w:hAnsi="宋体" w:cs="宋体"/>
          <w:spacing w:val="-3"/>
          <w:sz w:val="30"/>
          <w:szCs w:val="30"/>
        </w:rPr>
        <w:t>收入决算情况说明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（三）</w:t>
      </w:r>
      <w:r>
        <w:fldChar w:fldCharType="begin"/>
      </w:r>
      <w:r>
        <w:instrText xml:space="preserve"> HYPERLINK \l "_Toc6782" </w:instrText>
      </w:r>
      <w:r>
        <w:fldChar w:fldCharType="separate"/>
      </w:r>
      <w:r>
        <w:rPr>
          <w:rFonts w:hint="eastAsia" w:ascii="宋体" w:hAnsi="宋体" w:cs="宋体"/>
          <w:spacing w:val="-3"/>
          <w:sz w:val="30"/>
          <w:szCs w:val="30"/>
        </w:rPr>
        <w:t>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（四）</w:t>
      </w:r>
      <w:r>
        <w:fldChar w:fldCharType="begin"/>
      </w:r>
      <w:r>
        <w:instrText xml:space="preserve"> HYPERLINK \l "_Toc14644" </w:instrText>
      </w:r>
      <w:r>
        <w:fldChar w:fldCharType="separate"/>
      </w:r>
      <w:r>
        <w:rPr>
          <w:rFonts w:hint="eastAsia" w:ascii="宋体" w:hAnsi="宋体" w:cs="宋体"/>
          <w:spacing w:val="-3"/>
          <w:sz w:val="30"/>
          <w:szCs w:val="30"/>
        </w:rPr>
        <w:t>财政拨款收入支出决算总体情况说明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（五）</w:t>
      </w:r>
      <w:r>
        <w:fldChar w:fldCharType="begin"/>
      </w:r>
      <w:r>
        <w:instrText xml:space="preserve"> HYPERLINK \l "_Toc2367" </w:instrText>
      </w:r>
      <w:r>
        <w:fldChar w:fldCharType="separate"/>
      </w:r>
      <w:r>
        <w:rPr>
          <w:rFonts w:hint="eastAsia" w:ascii="宋体" w:hAnsi="宋体" w:cs="宋体"/>
          <w:spacing w:val="-3"/>
          <w:sz w:val="30"/>
          <w:szCs w:val="30"/>
        </w:rPr>
        <w:t>一般公共预算财政拨款支出决算情况说明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（六）</w:t>
      </w:r>
      <w:r>
        <w:fldChar w:fldCharType="begin"/>
      </w:r>
      <w:r>
        <w:instrText xml:space="preserve"> HYPERLINK \l "_Toc16205" </w:instrText>
      </w:r>
      <w:r>
        <w:fldChar w:fldCharType="separate"/>
      </w:r>
      <w:r>
        <w:rPr>
          <w:rFonts w:hint="eastAsia" w:ascii="宋体" w:hAnsi="宋体" w:cs="宋体"/>
          <w:spacing w:val="-3"/>
          <w:sz w:val="30"/>
          <w:szCs w:val="30"/>
        </w:rPr>
        <w:t>一般公共预算财政拨款基本支出决算情况说明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（七）</w:t>
      </w:r>
      <w:r>
        <w:fldChar w:fldCharType="begin"/>
      </w:r>
      <w:r>
        <w:instrText xml:space="preserve"> HYPERLINK \l "_Toc27268" </w:instrText>
      </w:r>
      <w:r>
        <w:fldChar w:fldCharType="separate"/>
      </w:r>
      <w:r>
        <w:rPr>
          <w:rFonts w:hint="eastAsia" w:ascii="宋体" w:hAnsi="宋体" w:cs="宋体"/>
          <w:spacing w:val="-3"/>
          <w:sz w:val="30"/>
          <w:szCs w:val="30"/>
        </w:rPr>
        <w:t>一般公共预算财政拨款“三公”经费支出决算情况说明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（八）</w:t>
      </w:r>
      <w:r>
        <w:fldChar w:fldCharType="begin"/>
      </w:r>
      <w:r>
        <w:instrText xml:space="preserve"> HYPERLINK \l "_Toc233" </w:instrText>
      </w:r>
      <w:r>
        <w:fldChar w:fldCharType="separate"/>
      </w:r>
      <w:r>
        <w:rPr>
          <w:rFonts w:hint="eastAsia" w:ascii="宋体" w:hAnsi="宋体" w:cs="宋体"/>
          <w:spacing w:val="-3"/>
          <w:sz w:val="30"/>
          <w:szCs w:val="30"/>
        </w:rPr>
        <w:t>政府性基金预算收入支出决算情况说明</w:t>
      </w:r>
      <w:r>
        <w:rPr>
          <w:rFonts w:hint="eastAsia" w:ascii="宋体" w:hAnsi="宋体" w:cs="宋体"/>
          <w:sz w:val="30"/>
          <w:szCs w:val="30"/>
        </w:rPr>
        <w:t>。</w:t>
      </w:r>
      <w:r>
        <w:rPr>
          <w:rFonts w:hint="eastAsia" w:ascii="宋体" w:hAnsi="宋体" w:cs="宋体"/>
          <w:sz w:val="30"/>
          <w:szCs w:val="30"/>
        </w:rPr>
        <w:fldChar w:fldCharType="end"/>
      </w:r>
    </w:p>
    <w:p>
      <w:pPr>
        <w:pStyle w:val="9"/>
        <w:tabs>
          <w:tab w:val="right" w:leader="dot" w:pos="8336"/>
        </w:tabs>
        <w:spacing w:line="360" w:lineRule="auto"/>
        <w:ind w:left="420" w:firstLine="300" w:firstLineChars="100"/>
        <w:rPr>
          <w:rFonts w:ascii="宋体" w:hAnsi="宋体" w:cs="宋体"/>
          <w:sz w:val="30"/>
          <w:szCs w:val="30"/>
        </w:rPr>
      </w:pPr>
      <w:r>
        <w:rPr>
          <w:rFonts w:hint="eastAsia" w:ascii="宋体" w:hAnsi="宋体" w:cs="宋体"/>
          <w:sz w:val="30"/>
          <w:szCs w:val="30"/>
        </w:rPr>
        <w:t>（九）</w:t>
      </w:r>
      <w:r>
        <w:fldChar w:fldCharType="begin"/>
      </w:r>
      <w:r>
        <w:instrText xml:space="preserve"> HYPERLINK \l "_Toc13584" </w:instrText>
      </w:r>
      <w:r>
        <w:fldChar w:fldCharType="separate"/>
      </w:r>
      <w:r>
        <w:rPr>
          <w:rFonts w:hint="eastAsia" w:ascii="宋体" w:hAnsi="宋体" w:cs="宋体"/>
          <w:spacing w:val="-3"/>
          <w:sz w:val="30"/>
          <w:szCs w:val="30"/>
        </w:rPr>
        <w:t>其他重要事项的情况说明</w:t>
      </w:r>
      <w:r>
        <w:rPr>
          <w:rFonts w:hint="eastAsia" w:ascii="宋体" w:hAnsi="宋体" w:cs="宋体"/>
          <w:sz w:val="30"/>
          <w:szCs w:val="30"/>
        </w:rPr>
        <w:t>。</w:t>
      </w:r>
      <w:r>
        <w:rPr>
          <w:rFonts w:hint="eastAsia" w:ascii="宋体" w:hAnsi="宋体" w:cs="宋体"/>
          <w:sz w:val="30"/>
          <w:szCs w:val="30"/>
        </w:rPr>
        <w:fldChar w:fldCharType="end"/>
      </w:r>
    </w:p>
    <w:p>
      <w:pPr>
        <w:pStyle w:val="8"/>
        <w:tabs>
          <w:tab w:val="right" w:leader="dot" w:pos="8336"/>
        </w:tabs>
        <w:spacing w:line="360" w:lineRule="auto"/>
        <w:ind w:firstLine="300" w:firstLineChars="150"/>
        <w:rPr>
          <w:rFonts w:ascii="宋体" w:hAnsi="宋体" w:cs="宋体"/>
          <w:b/>
          <w:sz w:val="30"/>
          <w:szCs w:val="30"/>
        </w:rPr>
      </w:pPr>
      <w:r>
        <w:fldChar w:fldCharType="begin"/>
      </w:r>
      <w:r>
        <w:instrText xml:space="preserve"> HYPERLINK \l "_Toc13389" </w:instrText>
      </w:r>
      <w:r>
        <w:fldChar w:fldCharType="separate"/>
      </w:r>
      <w:r>
        <w:rPr>
          <w:rFonts w:hint="eastAsia" w:ascii="宋体" w:hAnsi="宋体" w:cs="宋体"/>
          <w:b/>
          <w:snapToGrid w:val="0"/>
          <w:spacing w:val="-4"/>
          <w:sz w:val="30"/>
          <w:szCs w:val="30"/>
        </w:rPr>
        <w:t>四、 名词解释</w:t>
      </w:r>
      <w:r>
        <w:rPr>
          <w:rFonts w:hint="eastAsia" w:ascii="宋体" w:hAnsi="宋体" w:cs="宋体"/>
          <w:b/>
          <w:snapToGrid w:val="0"/>
          <w:spacing w:val="-4"/>
          <w:sz w:val="30"/>
          <w:szCs w:val="30"/>
        </w:rPr>
        <w:fldChar w:fldCharType="end"/>
      </w:r>
    </w:p>
    <w:p>
      <w:pPr>
        <w:ind w:firstLine="3614" w:firstLineChars="1200"/>
        <w:rPr>
          <w:rFonts w:ascii="宋体" w:hAnsi="宋体" w:cs="宋体"/>
          <w:b/>
          <w:sz w:val="30"/>
          <w:szCs w:val="30"/>
        </w:rPr>
      </w:pPr>
      <w:r>
        <w:rPr>
          <w:rFonts w:hint="eastAsia" w:ascii="宋体" w:hAnsi="宋体" w:cs="宋体"/>
          <w:b/>
          <w:sz w:val="30"/>
          <w:szCs w:val="30"/>
        </w:rPr>
        <w:fldChar w:fldCharType="end"/>
      </w:r>
    </w:p>
    <w:p>
      <w:pPr>
        <w:ind w:firstLine="3744" w:firstLineChars="1200"/>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第一部分</w:t>
      </w:r>
      <w:r>
        <w:rPr>
          <w:rFonts w:ascii="黑体" w:hAnsi="黑体" w:eastAsia="黑体" w:cs="黑体"/>
          <w:snapToGrid w:val="0"/>
          <w:color w:val="000000"/>
          <w:spacing w:val="-4"/>
          <w:kern w:val="0"/>
          <w:sz w:val="32"/>
          <w:szCs w:val="32"/>
        </w:rPr>
        <w:t>概况</w:t>
      </w:r>
      <w:bookmarkEnd w:id="0"/>
      <w:bookmarkEnd w:id="1"/>
    </w:p>
    <w:p>
      <w:pPr>
        <w:numPr>
          <w:ilvl w:val="0"/>
          <w:numId w:val="1"/>
        </w:numPr>
        <w:rPr>
          <w:rFonts w:ascii="仿宋" w:hAnsi="仿宋" w:eastAsia="仿宋" w:cs="仿宋"/>
          <w:sz w:val="32"/>
          <w:szCs w:val="32"/>
        </w:rPr>
      </w:pPr>
      <w:bookmarkStart w:id="2" w:name="_Toc7430_WPSOffice_Level1"/>
      <w:r>
        <w:rPr>
          <w:rFonts w:hint="eastAsia" w:ascii="仿宋" w:hAnsi="仿宋" w:eastAsia="仿宋" w:cs="仿宋"/>
          <w:sz w:val="32"/>
          <w:szCs w:val="32"/>
        </w:rPr>
        <w:t>主要职能职责</w:t>
      </w:r>
    </w:p>
    <w:p>
      <w:pPr>
        <w:ind w:firstLine="640" w:firstLineChars="200"/>
        <w:rPr>
          <w:rFonts w:ascii="仿宋" w:hAnsi="仿宋" w:eastAsia="仿宋" w:cs="仿宋"/>
          <w:sz w:val="32"/>
          <w:szCs w:val="32"/>
        </w:rPr>
      </w:pPr>
      <w:r>
        <w:rPr>
          <w:rFonts w:ascii="仿宋_GB2312" w:hAnsi="仿宋_GB2312" w:eastAsia="仿宋_GB2312"/>
          <w:sz w:val="32"/>
          <w:szCs w:val="32"/>
        </w:rPr>
        <w:t>1</w:t>
      </w:r>
      <w:r>
        <w:rPr>
          <w:rFonts w:hint="eastAsia" w:ascii="仿宋_GB2312" w:hAnsi="仿宋_GB2312" w:eastAsia="仿宋_GB2312"/>
          <w:sz w:val="32"/>
          <w:szCs w:val="32"/>
        </w:rPr>
        <w:t>、负责应急管理工作</w:t>
      </w:r>
      <w:r>
        <w:rPr>
          <w:rFonts w:ascii="仿宋_GB2312" w:hAnsi="仿宋_GB2312" w:eastAsia="仿宋_GB2312"/>
          <w:sz w:val="32"/>
          <w:szCs w:val="32"/>
        </w:rPr>
        <w:t>,</w:t>
      </w:r>
      <w:r>
        <w:rPr>
          <w:rFonts w:hint="eastAsia" w:ascii="仿宋_GB2312" w:hAnsi="仿宋_GB2312" w:eastAsia="仿宋_GB2312"/>
          <w:sz w:val="32"/>
          <w:szCs w:val="32"/>
        </w:rPr>
        <w:t>指导各级、各部门应对安全生产类、自然灾害类等突发事件和综合防灾减灾救灾工作。负责安全生产综合监督管理和工矿商贸行业安全生产监督管理工作。</w:t>
      </w:r>
      <w:r>
        <w:rPr>
          <w:rFonts w:ascii="仿宋_GB2312" w:hAnsi="仿宋_GB2312" w:eastAsia="仿宋_GB2312"/>
          <w:sz w:val="32"/>
          <w:szCs w:val="32"/>
        </w:rPr>
        <w:t>2</w:t>
      </w:r>
      <w:r>
        <w:rPr>
          <w:rFonts w:hint="eastAsia" w:ascii="仿宋_GB2312" w:hAnsi="仿宋_GB2312" w:eastAsia="仿宋_GB2312"/>
          <w:sz w:val="32"/>
          <w:szCs w:val="32"/>
        </w:rPr>
        <w:t>、贯彻执行应急管理、安全生产等方针政策和法律法规，按照相关地方性法规、规章、地方标准</w:t>
      </w:r>
      <w:r>
        <w:rPr>
          <w:rFonts w:ascii="仿宋_GB2312" w:hAnsi="仿宋_GB2312" w:eastAsia="仿宋_GB2312"/>
          <w:sz w:val="32"/>
          <w:szCs w:val="32"/>
        </w:rPr>
        <w:t>,</w:t>
      </w:r>
      <w:r>
        <w:rPr>
          <w:rFonts w:hint="eastAsia" w:ascii="仿宋_GB2312" w:hAnsi="仿宋_GB2312" w:eastAsia="仿宋_GB2312"/>
          <w:sz w:val="32"/>
          <w:szCs w:val="32"/>
        </w:rPr>
        <w:t>组织编制应急体系建设、安全生产和综合防灾减灾规划并监督实施。</w:t>
      </w:r>
      <w:r>
        <w:rPr>
          <w:rFonts w:ascii="仿宋_GB2312" w:hAnsi="仿宋_GB2312" w:eastAsia="仿宋_GB2312" w:cs="楷体_GB2312"/>
          <w:sz w:val="32"/>
          <w:szCs w:val="32"/>
        </w:rPr>
        <w:t>3</w:t>
      </w:r>
      <w:r>
        <w:rPr>
          <w:rFonts w:hint="eastAsia" w:ascii="仿宋_GB2312" w:hAnsi="仿宋_GB2312" w:eastAsia="仿宋_GB2312" w:cs="楷体_GB2312"/>
          <w:sz w:val="32"/>
          <w:szCs w:val="32"/>
        </w:rPr>
        <w:t>、</w:t>
      </w:r>
      <w:r>
        <w:rPr>
          <w:rFonts w:hint="eastAsia" w:ascii="仿宋_GB2312" w:hAnsi="仿宋_GB2312" w:eastAsia="仿宋_GB2312"/>
          <w:sz w:val="32"/>
          <w:szCs w:val="32"/>
        </w:rPr>
        <w:t>指导应急预案体系建设</w:t>
      </w:r>
      <w:r>
        <w:rPr>
          <w:rFonts w:ascii="仿宋_GB2312" w:hAnsi="仿宋_GB2312" w:eastAsia="仿宋_GB2312"/>
          <w:sz w:val="32"/>
          <w:szCs w:val="32"/>
        </w:rPr>
        <w:t>,</w:t>
      </w:r>
      <w:r>
        <w:rPr>
          <w:rFonts w:hint="eastAsia" w:ascii="仿宋_GB2312" w:hAnsi="仿宋_GB2312" w:eastAsia="仿宋_GB2312"/>
          <w:sz w:val="32"/>
          <w:szCs w:val="32"/>
        </w:rPr>
        <w:t>建立完善事故灾难和自然灾害分级应对制度</w:t>
      </w:r>
      <w:r>
        <w:rPr>
          <w:rFonts w:ascii="仿宋_GB2312" w:hAnsi="仿宋_GB2312" w:eastAsia="仿宋_GB2312"/>
          <w:sz w:val="32"/>
          <w:szCs w:val="32"/>
        </w:rPr>
        <w:t>,</w:t>
      </w:r>
      <w:r>
        <w:rPr>
          <w:rFonts w:hint="eastAsia" w:ascii="仿宋_GB2312" w:hAnsi="仿宋_GB2312" w:eastAsia="仿宋_GB2312"/>
          <w:sz w:val="32"/>
          <w:szCs w:val="32"/>
        </w:rPr>
        <w:t>组织编制区级总体应急预案和安全生产类、自然灾害类专项预案，综合协调应急预案衔接工作，组织开展预案演练，推动应急避难设施建设。</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、牵头建立统一的应急管理信息系统，负责信息传输渠道的规划和布局</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建立监测预警和灾情报告制度，健全自然灾害信息资源获取和共享机制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依法统一发布灾情。</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、组织指导协调安全生产类、自然灾害类等突发事件应急救援，承担区应对一般灾害指挥部工作，综合研判突发事件发展态势并提出应对建议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协助区委、区政府指定的负责同志组织一般灾害应急处置工作。</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、统一协调指挥各类应急专业队伍</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建立应急协调联动机制，推进指挥平台对接</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衔接驻朔城区解放军和武警部队参与应急救援工作。</w:t>
      </w:r>
      <w:r>
        <w:rPr>
          <w:rFonts w:ascii="仿宋_GB2312" w:hAnsi="仿宋_GB2312" w:eastAsia="仿宋_GB2312" w:cs="仿宋_GB2312"/>
          <w:sz w:val="32"/>
          <w:szCs w:val="32"/>
        </w:rPr>
        <w:t xml:space="preserve"> 7</w:t>
      </w:r>
      <w:r>
        <w:rPr>
          <w:rFonts w:hint="eastAsia" w:ascii="仿宋_GB2312" w:hAnsi="仿宋_GB2312" w:eastAsia="仿宋_GB2312" w:cs="仿宋_GB2312"/>
          <w:sz w:val="32"/>
          <w:szCs w:val="32"/>
        </w:rPr>
        <w:t>、统筹消防、森林和草原火灾扑救、抗洪抢险、地震和地质灾害救援、生产安全事故救援等专业应急救援力量建设，管理区级应急救援队伍，指导各乡镇（街道）及社会应急救援力量建设。</w:t>
      </w:r>
      <w:r>
        <w:rPr>
          <w:rFonts w:ascii="仿宋_GB2312" w:hAnsi="仿宋_GB2312" w:eastAsia="仿宋_GB2312" w:cs="仿宋_GB2312"/>
          <w:sz w:val="32"/>
          <w:szCs w:val="32"/>
        </w:rPr>
        <w:t xml:space="preserve">  8</w:t>
      </w:r>
      <w:r>
        <w:rPr>
          <w:rFonts w:hint="eastAsia" w:ascii="仿宋_GB2312" w:hAnsi="仿宋_GB2312" w:eastAsia="仿宋_GB2312" w:cs="仿宋_GB2312"/>
          <w:sz w:val="32"/>
          <w:szCs w:val="32"/>
        </w:rPr>
        <w:t>、组织指导消防监督、火灾预防、火灾扑救等工作。</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、指导协调森林和草原火灾、水旱灾害、地震和地质灾害等相关防治工作，负责自然灾害综合监测预警工作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指导开展自然灾害综合风险评估工作。</w:t>
      </w:r>
      <w:r>
        <w:rPr>
          <w:rFonts w:ascii="仿宋_GB2312" w:hAnsi="仿宋_GB2312" w:eastAsia="仿宋_GB2312" w:cs="宋体"/>
          <w:sz w:val="32"/>
          <w:szCs w:val="32"/>
        </w:rPr>
        <w:t xml:space="preserve"> </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、组织协调灾害救助工作，组织指导灾情核查、损失评估、救灾捐赠工作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管理、分配中央划拨和省、市、区级救灾款物并监督使用。</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、依法行使安全生产综合监督管理职权，指导协调、监督检查区有关部门、单位和乡镇（街道）人民政府安全生产工作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组织开展安全生产巡查、考核工作。</w:t>
      </w:r>
      <w:r>
        <w:rPr>
          <w:rFonts w:ascii="仿宋_GB2312" w:hAnsi="仿宋_GB2312" w:eastAsia="仿宋_GB2312" w:cs="宋体"/>
          <w:sz w:val="32"/>
          <w:szCs w:val="32"/>
        </w:rPr>
        <w:t xml:space="preserve"> </w:t>
      </w:r>
      <w:r>
        <w:rPr>
          <w:rFonts w:ascii="仿宋_GB2312" w:hAnsi="仿宋_GB2312" w:eastAsia="仿宋_GB2312" w:cs="仿宋_GB2312"/>
          <w:sz w:val="32"/>
          <w:szCs w:val="32"/>
        </w:rPr>
        <w:t>12</w:t>
      </w:r>
      <w:r>
        <w:rPr>
          <w:rFonts w:hint="eastAsia" w:ascii="仿宋_GB2312" w:hAnsi="仿宋_GB2312" w:eastAsia="仿宋_GB2312" w:cs="仿宋_GB2312"/>
          <w:sz w:val="32"/>
          <w:szCs w:val="32"/>
        </w:rPr>
        <w:t>、</w:t>
      </w:r>
      <w:r>
        <w:rPr>
          <w:rFonts w:hint="eastAsia" w:ascii="仿宋_GB2312" w:hAnsi="仿宋_GB2312" w:eastAsia="仿宋_GB2312"/>
          <w:sz w:val="32"/>
          <w:szCs w:val="32"/>
        </w:rPr>
        <w:t>按照分级、属地原则，负责监督管理工矿商贸行业企业安全生产工作</w:t>
      </w:r>
      <w:r>
        <w:rPr>
          <w:rFonts w:ascii="仿宋_GB2312" w:hAnsi="仿宋_GB2312" w:eastAsia="仿宋_GB2312"/>
          <w:sz w:val="32"/>
          <w:szCs w:val="32"/>
        </w:rPr>
        <w:t>,</w:t>
      </w:r>
      <w:r>
        <w:rPr>
          <w:rFonts w:hint="eastAsia" w:ascii="仿宋_GB2312" w:hAnsi="仿宋_GB2312" w:eastAsia="仿宋_GB2312"/>
          <w:sz w:val="32"/>
          <w:szCs w:val="32"/>
        </w:rPr>
        <w:t>依法监督检查工矿商贸生产经营单位贯彻执行安全生产法律法规情况及其安全生产条件和有关设备</w:t>
      </w:r>
      <w:r>
        <w:rPr>
          <w:rFonts w:ascii="仿宋_GB2312" w:hAnsi="仿宋_GB2312" w:eastAsia="仿宋_GB2312"/>
          <w:sz w:val="32"/>
          <w:szCs w:val="32"/>
        </w:rPr>
        <w:t>(</w:t>
      </w:r>
      <w:r>
        <w:rPr>
          <w:rFonts w:hint="eastAsia" w:ascii="仿宋_GB2312" w:hAnsi="仿宋_GB2312" w:eastAsia="仿宋_GB2312"/>
          <w:sz w:val="32"/>
          <w:szCs w:val="32"/>
        </w:rPr>
        <w:t>特种设备除外</w:t>
      </w:r>
      <w:r>
        <w:rPr>
          <w:rFonts w:ascii="仿宋_GB2312" w:hAnsi="仿宋_GB2312" w:eastAsia="仿宋_GB2312"/>
          <w:sz w:val="32"/>
          <w:szCs w:val="32"/>
        </w:rPr>
        <w:t>)</w:t>
      </w:r>
      <w:r>
        <w:rPr>
          <w:rFonts w:hint="eastAsia" w:ascii="仿宋_GB2312" w:hAnsi="仿宋_GB2312" w:eastAsia="仿宋_GB2312"/>
          <w:sz w:val="32"/>
          <w:szCs w:val="32"/>
        </w:rPr>
        <w:t>、材料、劳动防护用品的安全生产管理工作。负责煤矿安全监督管理工作。负责全区洗</w:t>
      </w:r>
      <w:r>
        <w:rPr>
          <w:rFonts w:ascii="仿宋_GB2312" w:hAnsi="仿宋_GB2312" w:eastAsia="仿宋_GB2312"/>
          <w:sz w:val="32"/>
          <w:szCs w:val="32"/>
        </w:rPr>
        <w:t>(</w:t>
      </w:r>
      <w:r>
        <w:rPr>
          <w:rFonts w:hint="eastAsia" w:ascii="仿宋_GB2312" w:hAnsi="仿宋_GB2312" w:eastAsia="仿宋_GB2312"/>
          <w:sz w:val="32"/>
          <w:szCs w:val="32"/>
        </w:rPr>
        <w:t>选</w:t>
      </w:r>
      <w:r>
        <w:rPr>
          <w:rFonts w:ascii="仿宋_GB2312" w:hAnsi="仿宋_GB2312" w:eastAsia="仿宋_GB2312"/>
          <w:sz w:val="32"/>
          <w:szCs w:val="32"/>
        </w:rPr>
        <w:t>)</w:t>
      </w:r>
      <w:r>
        <w:rPr>
          <w:rFonts w:hint="eastAsia" w:ascii="仿宋_GB2312" w:hAnsi="仿宋_GB2312" w:eastAsia="仿宋_GB2312"/>
          <w:sz w:val="32"/>
          <w:szCs w:val="32"/>
        </w:rPr>
        <w:t>煤厂、配煤、型煤加工企业的安全生产监督管理工作</w:t>
      </w:r>
      <w:r>
        <w:rPr>
          <w:rFonts w:ascii="仿宋_GB2312" w:hAnsi="仿宋_GB2312" w:eastAsia="仿宋_GB2312"/>
          <w:sz w:val="32"/>
          <w:szCs w:val="32"/>
        </w:rPr>
        <w:t>,</w:t>
      </w:r>
      <w:r>
        <w:rPr>
          <w:rFonts w:hint="eastAsia" w:ascii="仿宋_GB2312" w:hAnsi="仿宋_GB2312" w:eastAsia="仿宋_GB2312"/>
          <w:sz w:val="32"/>
          <w:szCs w:val="32"/>
        </w:rPr>
        <w:t>贯彻落实有关安全监督管理标准。煤矿附属洗（选）煤厂的安全监管以煤矿的分级监管层级确定。负责危险化学品安全监督管理综合工作和烟花爆竹安全生产监督管理工作。依法组织并指导监督实施安全生产准入制度。</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、依法组织指导生产安全事故调查处理，监督事故查处和责任追究落实情况。组织开展自然灾害类突发事件的调查评估工作。</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、开展应急管理方面的国际、国内交流与合作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组织参与安全生产类、自然灾害类等突发事件的救援工作和县区际之间应急救援合作。</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、制订应急物资储备和应急救援装备规划并组织实施，建立健全全区应急物资信息平台和调拨制度，在救灾时统一调度。</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、负责应急管理、安全生产宣传教育和培训工作</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组织指导应急管理、安全生产的科学技术研究、推广应用和信息化建设工作。</w:t>
      </w:r>
      <w:r>
        <w:rPr>
          <w:rFonts w:hint="eastAsia" w:ascii="仿宋_GB2312" w:hAnsi="仿宋_GB2312" w:eastAsia="仿宋_GB2312"/>
          <w:sz w:val="32"/>
          <w:szCs w:val="32"/>
        </w:rPr>
        <w:t>17、负责组织指导协调和监督全区安全生产行政执法工作。18、贯彻执行各类房屋建筑及其附属设施和全市市政设施建设工程抗震设计规范，指导全市各类建筑的抗震救灾工作；统一规划本区地震台（站）网建设；监督管理本区内建设工程抗震设防要求和地震安全性评价工作，审定建设工程的地震安全性评价报告等</w:t>
      </w:r>
      <w:r>
        <w:rPr>
          <w:rFonts w:hint="eastAsia" w:ascii="仿宋_GB2312" w:hAnsi="仿宋_GB2312" w:eastAsia="仿宋_GB2312"/>
          <w:bCs/>
          <w:sz w:val="32"/>
          <w:szCs w:val="32"/>
        </w:rPr>
        <w:t>。</w:t>
      </w:r>
      <w:r>
        <w:rPr>
          <w:rFonts w:hint="eastAsia" w:ascii="仿宋" w:hAnsi="仿宋" w:eastAsia="仿宋" w:cs="仿宋"/>
          <w:sz w:val="32"/>
          <w:szCs w:val="32"/>
        </w:rPr>
        <w:t xml:space="preserve">                             </w:t>
      </w:r>
    </w:p>
    <w:p>
      <w:pPr>
        <w:numPr>
          <w:ilvl w:val="0"/>
          <w:numId w:val="1"/>
        </w:numPr>
        <w:rPr>
          <w:rFonts w:ascii="仿宋" w:hAnsi="仿宋" w:eastAsia="仿宋" w:cs="仿宋"/>
          <w:sz w:val="32"/>
          <w:szCs w:val="32"/>
        </w:rPr>
      </w:pPr>
      <w:r>
        <w:rPr>
          <w:rFonts w:hint="eastAsia" w:ascii="仿宋" w:hAnsi="仿宋" w:eastAsia="仿宋" w:cs="仿宋"/>
          <w:sz w:val="32"/>
          <w:szCs w:val="32"/>
        </w:rPr>
        <w:t>部门机构设置</w:t>
      </w:r>
    </w:p>
    <w:p>
      <w:pPr>
        <w:ind w:firstLine="640" w:firstLineChars="200"/>
        <w:rPr>
          <w:rFonts w:hint="eastAsia" w:ascii="仿宋_GB2312" w:hAnsi="仿宋_GB2312" w:eastAsia="仿宋_GB2312" w:cs="华文仿宋"/>
          <w:bCs/>
          <w:sz w:val="32"/>
          <w:szCs w:val="32"/>
        </w:rPr>
      </w:pPr>
      <w:r>
        <w:rPr>
          <w:rFonts w:hint="eastAsia" w:ascii="仿宋_GB2312" w:hAnsi="仿宋_GB2312" w:eastAsia="仿宋_GB2312" w:cs="华文仿宋"/>
          <w:bCs/>
          <w:sz w:val="32"/>
          <w:szCs w:val="32"/>
        </w:rPr>
        <w:t>我单位</w:t>
      </w:r>
      <w:r>
        <w:rPr>
          <w:rFonts w:hint="eastAsia" w:ascii="仿宋_GB2312" w:hAnsi="仿宋_GB2312" w:eastAsia="仿宋_GB2312" w:cs="华文仿宋"/>
          <w:bCs/>
          <w:sz w:val="32"/>
          <w:szCs w:val="32"/>
          <w:lang w:eastAsia="zh-CN"/>
        </w:rPr>
        <w:t>内</w:t>
      </w:r>
      <w:r>
        <w:rPr>
          <w:rFonts w:hint="eastAsia" w:ascii="仿宋_GB2312" w:hAnsi="仿宋_GB2312" w:eastAsia="仿宋_GB2312" w:cs="华文仿宋"/>
          <w:bCs/>
          <w:sz w:val="32"/>
          <w:szCs w:val="32"/>
        </w:rPr>
        <w:t>设10个股室，分别是.秘书股、应急救援保障股、防灾减灾股、煤矿安全执法综合股、煤矿安全生产技术股、危险化学品安全监督管理股、非煤矿山安全监督管理股、冶金工贸安全监督管理股、安全生产综合协调股、洗储煤场监管股。</w:t>
      </w:r>
    </w:p>
    <w:p>
      <w:pPr>
        <w:ind w:firstLine="640" w:firstLineChars="200"/>
        <w:rPr>
          <w:rFonts w:hint="eastAsia" w:ascii="仿宋_GB2312" w:hAnsi="仿宋_GB2312" w:eastAsia="仿宋_GB2312" w:cs="华文仿宋"/>
          <w:bCs/>
          <w:sz w:val="32"/>
          <w:szCs w:val="32"/>
        </w:rPr>
      </w:pPr>
      <w:r>
        <w:rPr>
          <w:rFonts w:hint="eastAsia" w:ascii="仿宋_GB2312" w:hAnsi="仿宋_GB2312" w:eastAsia="仿宋_GB2312" w:cs="华文仿宋"/>
          <w:bCs/>
          <w:sz w:val="32"/>
          <w:szCs w:val="32"/>
        </w:rPr>
        <w:t>我单位为一级单位，下属二级单位</w:t>
      </w:r>
      <w:r>
        <w:rPr>
          <w:rFonts w:hint="eastAsia" w:ascii="仿宋_GB2312" w:hAnsi="仿宋_GB2312" w:eastAsia="仿宋_GB2312" w:cs="华文仿宋"/>
          <w:bCs/>
          <w:sz w:val="32"/>
          <w:szCs w:val="32"/>
          <w:lang w:eastAsia="zh-CN"/>
        </w:rPr>
        <w:t>共</w:t>
      </w:r>
      <w:r>
        <w:rPr>
          <w:rFonts w:hint="eastAsia" w:ascii="仿宋_GB2312" w:hAnsi="仿宋_GB2312" w:eastAsia="仿宋_GB2312" w:cs="华文仿宋"/>
          <w:bCs/>
          <w:sz w:val="32"/>
          <w:szCs w:val="32"/>
          <w:lang w:val="en-US" w:eastAsia="zh-CN"/>
        </w:rPr>
        <w:t>4</w:t>
      </w:r>
      <w:r>
        <w:rPr>
          <w:rFonts w:hint="eastAsia" w:ascii="仿宋_GB2312" w:hAnsi="仿宋_GB2312" w:eastAsia="仿宋_GB2312" w:cs="华文仿宋"/>
          <w:bCs/>
          <w:sz w:val="32"/>
          <w:szCs w:val="32"/>
        </w:rPr>
        <w:t>个，分别是：</w:t>
      </w:r>
      <w:r>
        <w:rPr>
          <w:rFonts w:hint="eastAsia" w:ascii="仿宋_GB2312" w:hAnsi="仿宋_GB2312" w:eastAsia="仿宋_GB2312" w:cs="华文仿宋"/>
          <w:bCs/>
          <w:sz w:val="32"/>
          <w:szCs w:val="32"/>
          <w:lang w:eastAsia="zh-CN"/>
        </w:rPr>
        <w:t>区应急管理局、</w:t>
      </w:r>
      <w:r>
        <w:rPr>
          <w:rFonts w:hint="eastAsia" w:ascii="仿宋_GB2312" w:hAnsi="仿宋_GB2312" w:eastAsia="仿宋_GB2312" w:cs="华文仿宋"/>
          <w:bCs/>
          <w:sz w:val="32"/>
          <w:szCs w:val="32"/>
        </w:rPr>
        <w:t>区防震减灾中心、区应急救援大队、区应急</w:t>
      </w:r>
      <w:r>
        <w:rPr>
          <w:rFonts w:hint="eastAsia" w:ascii="仿宋_GB2312" w:hAnsi="仿宋_GB2312" w:eastAsia="仿宋_GB2312" w:cs="华文仿宋"/>
          <w:bCs/>
          <w:sz w:val="32"/>
          <w:szCs w:val="32"/>
          <w:lang w:eastAsia="zh-CN"/>
        </w:rPr>
        <w:t>指挥</w:t>
      </w:r>
      <w:r>
        <w:rPr>
          <w:rFonts w:hint="eastAsia" w:ascii="仿宋_GB2312" w:hAnsi="仿宋_GB2312" w:eastAsia="仿宋_GB2312" w:cs="华文仿宋"/>
          <w:bCs/>
          <w:sz w:val="32"/>
          <w:szCs w:val="32"/>
        </w:rPr>
        <w:t>中心。</w:t>
      </w:r>
    </w:p>
    <w:p>
      <w:pPr>
        <w:ind w:firstLine="640" w:firstLineChars="200"/>
        <w:rPr>
          <w:rFonts w:ascii="仿宋" w:hAnsi="仿宋" w:eastAsia="仿宋" w:cs="仿宋"/>
          <w:sz w:val="32"/>
          <w:szCs w:val="32"/>
        </w:rPr>
      </w:pPr>
      <w:r>
        <w:rPr>
          <w:rFonts w:hint="eastAsia" w:ascii="宋体" w:hAnsi="宋体" w:eastAsia="仿宋_GB2312" w:cs="Times New Roman"/>
          <w:sz w:val="32"/>
          <w:szCs w:val="32"/>
        </w:rPr>
        <w:t>从预算单位构成看，</w:t>
      </w:r>
      <w:r>
        <w:rPr>
          <w:rFonts w:hint="eastAsia" w:ascii="仿宋_GB2312" w:hAnsi="仿宋_GB2312" w:eastAsia="仿宋_GB2312" w:cs="华文仿宋"/>
          <w:bCs/>
          <w:sz w:val="32"/>
          <w:szCs w:val="32"/>
        </w:rPr>
        <w:t>我</w:t>
      </w:r>
      <w:r>
        <w:rPr>
          <w:rFonts w:hint="eastAsia" w:ascii="仿宋_GB2312" w:hAnsi="仿宋_GB2312" w:eastAsia="仿宋_GB2312" w:cs="华文仿宋"/>
          <w:bCs/>
          <w:sz w:val="32"/>
          <w:szCs w:val="32"/>
          <w:lang w:eastAsia="zh-CN"/>
        </w:rPr>
        <w:t>单位部门决算</w:t>
      </w:r>
      <w:r>
        <w:rPr>
          <w:rFonts w:hint="eastAsia" w:ascii="仿宋_GB2312" w:hAnsi="仿宋_GB2312" w:eastAsia="仿宋_GB2312" w:cs="华文仿宋"/>
          <w:bCs/>
          <w:sz w:val="32"/>
          <w:szCs w:val="32"/>
        </w:rPr>
        <w:t>包括</w:t>
      </w:r>
      <w:r>
        <w:rPr>
          <w:rFonts w:hint="eastAsia" w:ascii="仿宋_GB2312" w:hAnsi="仿宋_GB2312" w:eastAsia="仿宋_GB2312" w:cs="华文仿宋"/>
          <w:bCs/>
          <w:sz w:val="32"/>
          <w:szCs w:val="32"/>
          <w:lang w:eastAsia="zh-CN"/>
        </w:rPr>
        <w:t>：</w:t>
      </w:r>
      <w:r>
        <w:rPr>
          <w:rFonts w:hint="eastAsia" w:ascii="仿宋_GB2312" w:hAnsi="仿宋_GB2312" w:eastAsia="仿宋_GB2312" w:cs="华文仿宋"/>
          <w:bCs/>
          <w:sz w:val="32"/>
          <w:szCs w:val="32"/>
        </w:rPr>
        <w:t>本级</w:t>
      </w:r>
      <w:r>
        <w:rPr>
          <w:rFonts w:hint="eastAsia" w:ascii="仿宋_GB2312" w:hAnsi="仿宋_GB2312" w:eastAsia="仿宋_GB2312" w:cs="华文仿宋"/>
          <w:bCs/>
          <w:sz w:val="32"/>
          <w:szCs w:val="32"/>
          <w:lang w:eastAsia="zh-CN"/>
        </w:rPr>
        <w:t>决算</w:t>
      </w:r>
      <w:r>
        <w:rPr>
          <w:rFonts w:hint="eastAsia" w:ascii="仿宋_GB2312" w:hAnsi="仿宋_GB2312" w:eastAsia="仿宋_GB2312" w:cs="华文仿宋"/>
          <w:bCs/>
          <w:sz w:val="32"/>
          <w:szCs w:val="32"/>
        </w:rPr>
        <w:t>及下属单位</w:t>
      </w:r>
      <w:r>
        <w:rPr>
          <w:rFonts w:hint="eastAsia" w:ascii="仿宋_GB2312" w:hAnsi="仿宋_GB2312" w:eastAsia="仿宋_GB2312" w:cs="华文仿宋"/>
          <w:bCs/>
          <w:sz w:val="32"/>
          <w:szCs w:val="32"/>
          <w:lang w:eastAsia="zh-CN"/>
        </w:rPr>
        <w:t>决算</w:t>
      </w:r>
      <w:r>
        <w:rPr>
          <w:rFonts w:hint="eastAsia" w:ascii="仿宋_GB2312" w:hAnsi="仿宋_GB2312" w:eastAsia="仿宋_GB2312" w:cs="华文仿宋"/>
          <w:bCs/>
          <w:sz w:val="32"/>
          <w:szCs w:val="32"/>
        </w:rPr>
        <w:t>。</w:t>
      </w:r>
    </w:p>
    <w:p>
      <w:pPr>
        <w:jc w:val="center"/>
        <w:rPr>
          <w:rFonts w:ascii="黑体" w:hAnsi="黑体" w:eastAsia="黑体" w:cs="黑体"/>
          <w:snapToGrid w:val="0"/>
          <w:color w:val="000000"/>
          <w:spacing w:val="-4"/>
          <w:kern w:val="0"/>
          <w:sz w:val="32"/>
          <w:szCs w:val="32"/>
        </w:rPr>
      </w:pPr>
      <w:r>
        <w:rPr>
          <w:rFonts w:hint="eastAsia" w:ascii="黑体" w:hAnsi="黑体" w:eastAsia="黑体" w:cs="黑体"/>
          <w:snapToGrid w:val="0"/>
          <w:color w:val="000000"/>
          <w:spacing w:val="-4"/>
          <w:kern w:val="0"/>
          <w:sz w:val="32"/>
          <w:szCs w:val="32"/>
        </w:rPr>
        <w:t>第二部分202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年度部门决算表</w:t>
      </w:r>
      <w:bookmarkEnd w:id="2"/>
    </w:p>
    <w:p>
      <w:pPr>
        <w:rPr>
          <w:rFonts w:ascii="仿宋" w:hAnsi="仿宋" w:eastAsia="仿宋" w:cs="仿宋"/>
          <w:sz w:val="32"/>
          <w:szCs w:val="32"/>
        </w:rPr>
      </w:pPr>
      <w:r>
        <w:rPr>
          <w:rFonts w:hint="eastAsia" w:ascii="仿宋" w:hAnsi="仿宋" w:eastAsia="仿宋" w:cs="仿宋"/>
          <w:sz w:val="32"/>
          <w:szCs w:val="32"/>
        </w:rPr>
        <w:t>决算公开报表见附件：</w:t>
      </w:r>
    </w:p>
    <w:p>
      <w:pPr>
        <w:jc w:val="center"/>
        <w:rPr>
          <w:rFonts w:ascii="黑体" w:hAnsi="黑体" w:eastAsia="黑体" w:cs="黑体"/>
          <w:snapToGrid w:val="0"/>
          <w:color w:val="000000"/>
          <w:spacing w:val="-4"/>
          <w:kern w:val="0"/>
          <w:sz w:val="32"/>
          <w:szCs w:val="32"/>
        </w:rPr>
      </w:pPr>
      <w:bookmarkStart w:id="3" w:name="_Toc25884_WPSOffice_Level1"/>
      <w:bookmarkStart w:id="4" w:name="_Toc17336_WPSOffice_Level1"/>
      <w:r>
        <w:rPr>
          <w:rFonts w:ascii="黑体" w:hAnsi="黑体" w:eastAsia="黑体" w:cs="黑体"/>
          <w:snapToGrid w:val="0"/>
          <w:color w:val="000000"/>
          <w:spacing w:val="-4"/>
          <w:kern w:val="0"/>
          <w:sz w:val="32"/>
          <w:szCs w:val="32"/>
        </w:rPr>
        <w:t>第三部分</w:t>
      </w:r>
      <w:r>
        <w:rPr>
          <w:rFonts w:hint="eastAsia" w:ascii="黑体" w:hAnsi="黑体" w:eastAsia="黑体" w:cs="黑体"/>
          <w:snapToGrid w:val="0"/>
          <w:color w:val="000000"/>
          <w:spacing w:val="-4"/>
          <w:kern w:val="0"/>
          <w:sz w:val="32"/>
          <w:szCs w:val="32"/>
        </w:rPr>
        <w:t>202</w:t>
      </w:r>
      <w:r>
        <w:rPr>
          <w:rFonts w:hint="eastAsia" w:ascii="黑体" w:hAnsi="黑体" w:eastAsia="黑体" w:cs="黑体"/>
          <w:snapToGrid w:val="0"/>
          <w:color w:val="000000"/>
          <w:spacing w:val="-4"/>
          <w:kern w:val="0"/>
          <w:sz w:val="32"/>
          <w:szCs w:val="32"/>
          <w:lang w:val="en-US" w:eastAsia="zh-CN"/>
        </w:rPr>
        <w:t>1</w:t>
      </w:r>
      <w:r>
        <w:rPr>
          <w:rFonts w:ascii="黑体" w:hAnsi="黑体" w:eastAsia="黑体" w:cs="黑体"/>
          <w:snapToGrid w:val="0"/>
          <w:color w:val="000000"/>
          <w:spacing w:val="-4"/>
          <w:kern w:val="0"/>
          <w:sz w:val="32"/>
          <w:szCs w:val="32"/>
        </w:rPr>
        <w:t>年度部门决算情况说明</w:t>
      </w:r>
      <w:bookmarkEnd w:id="3"/>
      <w:bookmarkEnd w:id="4"/>
    </w:p>
    <w:p>
      <w:pPr>
        <w:numPr>
          <w:ilvl w:val="0"/>
          <w:numId w:val="2"/>
        </w:numPr>
        <w:rPr>
          <w:rFonts w:ascii="仿宋" w:hAnsi="仿宋" w:eastAsia="仿宋" w:cs="仿宋"/>
          <w:sz w:val="32"/>
          <w:szCs w:val="32"/>
        </w:rPr>
      </w:pPr>
      <w:bookmarkStart w:id="5" w:name="_Toc1653_WPSOffice_Level2"/>
      <w:bookmarkStart w:id="6" w:name="_Toc22880_WPSOffice_Level2"/>
      <w:r>
        <w:rPr>
          <w:rFonts w:hint="eastAsia" w:ascii="楷体" w:hAnsi="楷体" w:eastAsia="楷体" w:cs="楷体"/>
          <w:spacing w:val="-3"/>
          <w:sz w:val="32"/>
          <w:szCs w:val="32"/>
        </w:rPr>
        <w:t>收入支出决算总体情况说明</w:t>
      </w:r>
      <w:bookmarkEnd w:id="5"/>
      <w:bookmarkEnd w:id="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eastAsia="仿宋_GB2312"/>
          <w:lang w:val="en-US" w:eastAsia="zh-CN"/>
        </w:rPr>
      </w:pPr>
      <w:bookmarkStart w:id="7" w:name="_Toc1438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 度 收 入 总 计</w:t>
      </w:r>
      <w:r>
        <w:rPr>
          <w:rFonts w:hint="eastAsia" w:ascii="宋体" w:hAnsi="宋体" w:eastAsia="仿宋_GB2312" w:cs="Times New Roman"/>
          <w:sz w:val="32"/>
          <w:szCs w:val="32"/>
          <w:lang w:val="en-US" w:eastAsia="zh-CN"/>
        </w:rPr>
        <w:t>3549.94</w:t>
      </w:r>
      <w:r>
        <w:rPr>
          <w:rFonts w:hint="eastAsia" w:ascii="宋体" w:hAnsi="宋体" w:eastAsia="仿宋_GB2312" w:cs="Times New Roman"/>
          <w:sz w:val="32"/>
          <w:szCs w:val="32"/>
        </w:rPr>
        <w:t>万元 、 支 出 总 计</w:t>
      </w:r>
      <w:r>
        <w:rPr>
          <w:rFonts w:hint="eastAsia" w:ascii="宋体" w:hAnsi="宋体" w:eastAsia="仿宋_GB2312" w:cs="Times New Roman"/>
          <w:sz w:val="32"/>
          <w:szCs w:val="32"/>
          <w:lang w:val="en-US" w:eastAsia="zh-CN"/>
        </w:rPr>
        <w:t>3549.94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年相比,收入总计增加</w:t>
      </w:r>
      <w:r>
        <w:rPr>
          <w:rFonts w:hint="eastAsia" w:ascii="宋体" w:hAnsi="宋体" w:eastAsia="仿宋_GB2312" w:cs="Times New Roman"/>
          <w:sz w:val="32"/>
          <w:szCs w:val="32"/>
          <w:lang w:val="en-US" w:eastAsia="zh-CN"/>
        </w:rPr>
        <w:t>357.68</w:t>
      </w:r>
      <w:r>
        <w:rPr>
          <w:rFonts w:hint="eastAsia" w:ascii="宋体" w:hAnsi="宋体" w:eastAsia="仿宋_GB2312" w:cs="Times New Roman"/>
          <w:sz w:val="32"/>
          <w:szCs w:val="32"/>
        </w:rPr>
        <w:t>万元，支出总计增加</w:t>
      </w:r>
      <w:r>
        <w:rPr>
          <w:rFonts w:hint="eastAsia" w:ascii="宋体" w:hAnsi="宋体" w:eastAsia="仿宋_GB2312" w:cs="Times New Roman"/>
          <w:sz w:val="32"/>
          <w:szCs w:val="32"/>
          <w:lang w:val="en-US" w:eastAsia="zh-CN"/>
        </w:rPr>
        <w:t>357.68</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：增加朔城区第一次全国自然灾害综合风险普查经费。</w:t>
      </w:r>
    </w:p>
    <w:p>
      <w:pPr>
        <w:spacing w:line="204" w:lineRule="auto"/>
        <w:jc w:val="left"/>
        <w:rPr>
          <w:rFonts w:ascii="楷体" w:hAnsi="楷体" w:eastAsia="楷体" w:cs="楷体"/>
          <w:spacing w:val="-2"/>
          <w:sz w:val="32"/>
          <w:szCs w:val="32"/>
        </w:rPr>
      </w:pPr>
      <w:r>
        <w:rPr>
          <w:rFonts w:hint="eastAsia" w:ascii="楷体" w:hAnsi="楷体" w:eastAsia="楷体" w:cs="楷体"/>
          <w:spacing w:val="-3"/>
          <w:sz w:val="32"/>
          <w:szCs w:val="32"/>
        </w:rPr>
        <w:t>二、</w:t>
      </w:r>
      <w:r>
        <w:rPr>
          <w:rFonts w:ascii="楷体" w:hAnsi="楷体" w:eastAsia="楷体" w:cs="楷体"/>
          <w:spacing w:val="-3"/>
          <w:sz w:val="32"/>
          <w:szCs w:val="32"/>
        </w:rPr>
        <w:t>收入决算情况说明</w:t>
      </w:r>
      <w:bookmarkEnd w:id="7"/>
    </w:p>
    <w:p>
      <w:pPr>
        <w:spacing w:line="204" w:lineRule="auto"/>
        <w:ind w:firstLine="667"/>
        <w:jc w:val="left"/>
        <w:rPr>
          <w:rFonts w:ascii="仿宋" w:hAnsi="仿宋" w:eastAsia="仿宋" w:cs="仿宋"/>
          <w:spacing w:val="-4"/>
          <w:sz w:val="32"/>
          <w:szCs w:val="32"/>
        </w:rPr>
      </w:pPr>
      <w:bookmarkStart w:id="8" w:name="_Toc504_WPSOffice_Level2"/>
      <w:bookmarkStart w:id="9" w:name="_Toc6621_WPSOffice_Level2"/>
      <w:r>
        <w:rPr>
          <w:rFonts w:hint="eastAsia" w:ascii="宋体" w:hAnsi="宋体" w:eastAsia="仿宋_GB2312" w:cs="Times New Roman"/>
          <w:sz w:val="32"/>
          <w:szCs w:val="32"/>
        </w:rPr>
        <w:t>本年收入合计</w:t>
      </w:r>
      <w:r>
        <w:rPr>
          <w:rFonts w:hint="eastAsia" w:ascii="宋体" w:hAnsi="宋体" w:eastAsia="仿宋_GB2312" w:cs="Times New Roman"/>
          <w:sz w:val="32"/>
          <w:szCs w:val="32"/>
          <w:lang w:val="en-US" w:eastAsia="zh-CN"/>
        </w:rPr>
        <w:t>3549.94</w:t>
      </w:r>
      <w:r>
        <w:rPr>
          <w:rFonts w:hint="eastAsia" w:ascii="宋体" w:hAnsi="宋体" w:eastAsia="仿宋_GB2312" w:cs="Times New Roman"/>
          <w:sz w:val="32"/>
          <w:szCs w:val="32"/>
        </w:rPr>
        <w:t>万元，其中：财政拨款收入</w:t>
      </w:r>
      <w:r>
        <w:rPr>
          <w:rFonts w:hint="eastAsia" w:ascii="宋体" w:hAnsi="宋体" w:eastAsia="仿宋_GB2312" w:cs="Times New Roman"/>
          <w:sz w:val="32"/>
          <w:szCs w:val="32"/>
          <w:lang w:val="en-US" w:eastAsia="zh-CN"/>
        </w:rPr>
        <w:t>3549.94</w:t>
      </w:r>
      <w:r>
        <w:rPr>
          <w:rFonts w:hint="eastAsia" w:ascii="宋体" w:hAnsi="宋体" w:eastAsia="仿宋_GB2312" w:cs="Times New Roman"/>
          <w:sz w:val="32"/>
          <w:szCs w:val="32"/>
        </w:rPr>
        <w:t>万元;上级补助收入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万元；事业收入 </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万元；附属单位上缴收入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 xml:space="preserve"> 万元；其他收入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三、支出决算情况说明</w:t>
      </w:r>
      <w:bookmarkEnd w:id="8"/>
      <w:bookmarkEnd w:id="9"/>
    </w:p>
    <w:p>
      <w:pPr>
        <w:ind w:firstLine="640" w:firstLineChars="200"/>
        <w:rPr>
          <w:rFonts w:ascii="仿宋" w:hAnsi="仿宋" w:eastAsia="仿宋" w:cs="仿宋"/>
          <w:sz w:val="32"/>
          <w:szCs w:val="32"/>
        </w:rPr>
      </w:pPr>
      <w:bookmarkStart w:id="10" w:name="_Toc32119_WPSOffice_Level2"/>
      <w:bookmarkStart w:id="11" w:name="_Toc8754_WPSOffice_Level2"/>
      <w:r>
        <w:rPr>
          <w:rFonts w:hint="eastAsia" w:ascii="宋体" w:hAnsi="宋体" w:eastAsia="仿宋_GB2312" w:cs="Times New Roman"/>
          <w:sz w:val="32"/>
          <w:szCs w:val="32"/>
        </w:rPr>
        <w:t>本年支出合计</w:t>
      </w:r>
      <w:r>
        <w:rPr>
          <w:rFonts w:hint="eastAsia" w:ascii="宋体" w:hAnsi="宋体" w:eastAsia="仿宋_GB2312" w:cs="Times New Roman"/>
          <w:sz w:val="32"/>
          <w:szCs w:val="32"/>
          <w:lang w:val="en-US" w:eastAsia="zh-CN"/>
        </w:rPr>
        <w:t>3549.94</w:t>
      </w:r>
      <w:r>
        <w:rPr>
          <w:rFonts w:hint="eastAsia" w:ascii="宋体" w:hAnsi="宋体" w:eastAsia="仿宋_GB2312" w:cs="Times New Roman"/>
          <w:sz w:val="32"/>
          <w:szCs w:val="32"/>
        </w:rPr>
        <w:t>万元 ，其中：基本支出</w:t>
      </w:r>
      <w:r>
        <w:rPr>
          <w:rFonts w:hint="eastAsia" w:ascii="仿宋" w:hAnsi="仿宋" w:eastAsia="仿宋" w:cs="仿宋"/>
          <w:sz w:val="32"/>
          <w:szCs w:val="32"/>
        </w:rPr>
        <w:t>1194.66</w:t>
      </w:r>
      <w:r>
        <w:rPr>
          <w:rFonts w:hint="eastAsia" w:ascii="宋体" w:hAnsi="宋体" w:eastAsia="仿宋_GB2312" w:cs="Times New Roman"/>
          <w:sz w:val="32"/>
          <w:szCs w:val="32"/>
        </w:rPr>
        <w:t>万元 ；项目支出</w:t>
      </w:r>
      <w:r>
        <w:rPr>
          <w:rFonts w:hint="eastAsia" w:ascii="仿宋" w:hAnsi="仿宋" w:eastAsia="仿宋" w:cs="仿宋"/>
          <w:sz w:val="32"/>
          <w:szCs w:val="32"/>
        </w:rPr>
        <w:t>2355.28</w:t>
      </w:r>
      <w:r>
        <w:rPr>
          <w:rFonts w:hint="eastAsia" w:ascii="宋体" w:hAnsi="宋体" w:eastAsia="仿宋_GB2312" w:cs="Times New Roman"/>
          <w:sz w:val="32"/>
          <w:szCs w:val="32"/>
        </w:rPr>
        <w:t>万元；上缴上级支出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万元，经营支出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万元；对附属单位补助支出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四、财政拨款收入支出决算总体情况说明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仿宋_GB2312" w:cs="Times New Roman"/>
          <w:sz w:val="32"/>
          <w:szCs w:val="32"/>
        </w:rPr>
      </w:pPr>
      <w:bookmarkStart w:id="12" w:name="_Toc2892_WPSOffice_Level2"/>
      <w:bookmarkStart w:id="13" w:name="_Toc23250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年度财政拨款收入总计</w:t>
      </w:r>
      <w:r>
        <w:rPr>
          <w:rFonts w:hint="eastAsia" w:ascii="宋体" w:hAnsi="宋体" w:eastAsia="仿宋_GB2312" w:cs="Times New Roman"/>
          <w:sz w:val="32"/>
          <w:szCs w:val="32"/>
          <w:lang w:val="en-US" w:eastAsia="zh-CN"/>
        </w:rPr>
        <w:t>3549.94</w:t>
      </w:r>
      <w:r>
        <w:rPr>
          <w:rFonts w:hint="eastAsia" w:ascii="宋体" w:hAnsi="宋体" w:eastAsia="仿宋_GB2312" w:cs="Times New Roman"/>
          <w:sz w:val="32"/>
          <w:szCs w:val="32"/>
        </w:rPr>
        <w:t>万元、支出总计</w:t>
      </w:r>
      <w:r>
        <w:rPr>
          <w:rFonts w:hint="eastAsia" w:ascii="宋体" w:hAnsi="宋体" w:eastAsia="仿宋_GB2312" w:cs="Times New Roman"/>
          <w:sz w:val="32"/>
          <w:szCs w:val="32"/>
          <w:lang w:val="en-US" w:eastAsia="zh-CN"/>
        </w:rPr>
        <w:t>3549.94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年相比，财政拨款收入总计增加</w:t>
      </w:r>
      <w:r>
        <w:rPr>
          <w:rFonts w:hint="eastAsia" w:ascii="宋体" w:hAnsi="宋体" w:eastAsia="仿宋_GB2312" w:cs="Times New Roman"/>
          <w:sz w:val="32"/>
          <w:szCs w:val="32"/>
          <w:lang w:val="en-US" w:eastAsia="zh-CN"/>
        </w:rPr>
        <w:t>357.68</w:t>
      </w:r>
      <w:r>
        <w:rPr>
          <w:rFonts w:hint="eastAsia" w:ascii="宋体" w:hAnsi="宋体" w:eastAsia="仿宋_GB2312" w:cs="Times New Roman"/>
          <w:sz w:val="32"/>
          <w:szCs w:val="32"/>
        </w:rPr>
        <w:t>万元，增长</w:t>
      </w:r>
      <w:r>
        <w:rPr>
          <w:rFonts w:hint="eastAsia" w:ascii="宋体" w:hAnsi="宋体" w:eastAsia="仿宋_GB2312" w:cs="Times New Roman"/>
          <w:sz w:val="32"/>
          <w:szCs w:val="32"/>
          <w:lang w:val="en-US" w:eastAsia="zh-CN"/>
        </w:rPr>
        <w:t>11.2</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增加朔城区第一次全国自然灾害综合风险普查经费。</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五、一般公共预算财政拨款支出决算情况说明</w:t>
      </w:r>
      <w:bookmarkEnd w:id="12"/>
      <w:bookmarkEnd w:id="13"/>
    </w:p>
    <w:p>
      <w:pPr>
        <w:rPr>
          <w:rFonts w:ascii="宋体" w:hAnsi="宋体" w:eastAsia="仿宋_GB2312" w:cs="Times New Roman"/>
          <w:sz w:val="32"/>
          <w:szCs w:val="32"/>
        </w:rPr>
      </w:pPr>
      <w:r>
        <w:rPr>
          <w:rFonts w:hint="eastAsia" w:ascii="宋体" w:hAnsi="宋体" w:eastAsia="仿宋_GB2312" w:cs="Times New Roman"/>
          <w:sz w:val="32"/>
          <w:szCs w:val="32"/>
        </w:rPr>
        <w:t>1.财政拨款支出决算总体情况</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3549.94</w:t>
      </w:r>
      <w:r>
        <w:rPr>
          <w:rFonts w:hint="eastAsia" w:ascii="宋体" w:hAnsi="宋体" w:eastAsia="仿宋_GB2312" w:cs="Times New Roman"/>
          <w:sz w:val="32"/>
          <w:szCs w:val="32"/>
        </w:rPr>
        <w:t xml:space="preserve">万元，与 </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 xml:space="preserve"> 年相比，财政拨款支出增加</w:t>
      </w:r>
      <w:r>
        <w:rPr>
          <w:rFonts w:hint="eastAsia" w:ascii="宋体" w:hAnsi="宋体" w:eastAsia="仿宋_GB2312" w:cs="Times New Roman"/>
          <w:sz w:val="32"/>
          <w:szCs w:val="32"/>
          <w:lang w:val="en-US" w:eastAsia="zh-CN"/>
        </w:rPr>
        <w:t>357.68</w:t>
      </w:r>
      <w:r>
        <w:rPr>
          <w:rFonts w:hint="eastAsia" w:ascii="宋体" w:hAnsi="宋体" w:eastAsia="仿宋_GB2312" w:cs="Times New Roman"/>
          <w:sz w:val="32"/>
          <w:szCs w:val="32"/>
        </w:rPr>
        <w:t>万元。主要原因是：</w:t>
      </w:r>
      <w:r>
        <w:rPr>
          <w:rFonts w:hint="eastAsia" w:ascii="宋体" w:hAnsi="宋体" w:eastAsia="仿宋_GB2312" w:cs="Times New Roman"/>
          <w:sz w:val="32"/>
          <w:szCs w:val="32"/>
          <w:lang w:eastAsia="zh-CN"/>
        </w:rPr>
        <w:t>增加朔城区第一次全国自然灾害综合风险普查经费。</w:t>
      </w:r>
      <w:r>
        <w:rPr>
          <w:rFonts w:hint="eastAsia" w:ascii="宋体" w:hAnsi="宋体" w:eastAsia="仿宋_GB2312" w:cs="Times New Roman"/>
          <w:sz w:val="32"/>
          <w:szCs w:val="32"/>
        </w:rPr>
        <w:t xml:space="preserve"> </w:t>
      </w:r>
      <w:bookmarkStart w:id="22" w:name="_GoBack"/>
      <w:bookmarkEnd w:id="22"/>
    </w:p>
    <w:p>
      <w:pPr>
        <w:rPr>
          <w:rFonts w:ascii="宋体" w:hAnsi="宋体" w:eastAsia="仿宋_GB2312" w:cs="Times New Roman"/>
          <w:sz w:val="32"/>
          <w:szCs w:val="32"/>
        </w:rPr>
      </w:pPr>
      <w:r>
        <w:rPr>
          <w:rFonts w:hint="eastAsia" w:ascii="宋体" w:hAnsi="宋体" w:eastAsia="仿宋_GB2312" w:cs="Times New Roman"/>
          <w:sz w:val="32"/>
          <w:szCs w:val="32"/>
        </w:rPr>
        <w:t>2.财政拨款支出决算结构情况</w:t>
      </w:r>
    </w:p>
    <w:p>
      <w:pPr>
        <w:spacing w:line="360" w:lineRule="auto"/>
        <w:ind w:firstLine="640" w:firstLineChars="200"/>
        <w:rPr>
          <w:rFonts w:ascii="仿宋" w:hAnsi="仿宋" w:eastAsia="仿宋" w:cs="仿宋"/>
          <w:sz w:val="32"/>
          <w:szCs w:val="32"/>
        </w:rPr>
      </w:pPr>
      <w:bookmarkStart w:id="14" w:name="_Toc1066_WPSOffice_Level2"/>
      <w:bookmarkStart w:id="15" w:name="_Toc27424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年度财政拨款支出</w:t>
      </w:r>
      <w:r>
        <w:rPr>
          <w:rFonts w:hint="eastAsia" w:ascii="宋体" w:hAnsi="宋体" w:eastAsia="仿宋_GB2312" w:cs="Times New Roman"/>
          <w:sz w:val="32"/>
          <w:szCs w:val="32"/>
          <w:lang w:val="en-US" w:eastAsia="zh-CN"/>
        </w:rPr>
        <w:t>3549.94</w:t>
      </w:r>
      <w:r>
        <w:rPr>
          <w:rFonts w:hint="eastAsia" w:ascii="宋体" w:hAnsi="宋体" w:eastAsia="仿宋_GB2312" w:cs="Times New Roman"/>
          <w:sz w:val="32"/>
          <w:szCs w:val="32"/>
        </w:rPr>
        <w:t>万元，主要用于以下方面：2080801</w:t>
      </w:r>
      <w:r>
        <w:rPr>
          <w:rFonts w:hint="eastAsia" w:ascii="宋体" w:hAnsi="宋体" w:eastAsia="仿宋_GB2312" w:cs="Times New Roman"/>
          <w:sz w:val="32"/>
          <w:szCs w:val="32"/>
          <w:lang w:eastAsia="zh-CN"/>
        </w:rPr>
        <w:t>死亡抚恤</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24.36</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0.68</w:t>
      </w:r>
      <w:r>
        <w:rPr>
          <w:rFonts w:hint="eastAsia" w:ascii="宋体" w:hAnsi="宋体" w:eastAsia="仿宋_GB2312" w:cs="Times New Roman"/>
          <w:sz w:val="32"/>
          <w:szCs w:val="32"/>
        </w:rPr>
        <w:t>%；2240101</w:t>
      </w:r>
      <w:r>
        <w:rPr>
          <w:rFonts w:hint="eastAsia" w:ascii="宋体" w:hAnsi="宋体" w:eastAsia="仿宋_GB2312" w:cs="Times New Roman"/>
          <w:sz w:val="32"/>
          <w:szCs w:val="32"/>
          <w:lang w:eastAsia="zh-CN"/>
        </w:rPr>
        <w:t>行政运行</w:t>
      </w:r>
      <w:r>
        <w:rPr>
          <w:rFonts w:hint="eastAsia" w:ascii="宋体" w:hAnsi="宋体" w:eastAsia="仿宋_GB2312" w:cs="Times New Roman"/>
          <w:sz w:val="32"/>
          <w:szCs w:val="32"/>
        </w:rPr>
        <w:t>支出</w:t>
      </w:r>
      <w:r>
        <w:rPr>
          <w:rFonts w:hint="eastAsia" w:ascii="宋体" w:hAnsi="宋体" w:eastAsia="仿宋_GB2312" w:cs="Times New Roman"/>
          <w:sz w:val="32"/>
          <w:szCs w:val="32"/>
          <w:lang w:val="en-US" w:eastAsia="zh-CN"/>
        </w:rPr>
        <w:t>519.49</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14.63</w:t>
      </w:r>
      <w:r>
        <w:rPr>
          <w:rFonts w:hint="eastAsia" w:ascii="宋体" w:hAnsi="宋体" w:eastAsia="仿宋_GB2312" w:cs="Times New Roman"/>
          <w:sz w:val="32"/>
          <w:szCs w:val="32"/>
        </w:rPr>
        <w:t>%；2240102 一般行政管理事务支出</w:t>
      </w:r>
      <w:r>
        <w:rPr>
          <w:rFonts w:hint="eastAsia" w:ascii="宋体" w:hAnsi="宋体" w:eastAsia="仿宋_GB2312" w:cs="Times New Roman"/>
          <w:sz w:val="32"/>
          <w:szCs w:val="32"/>
          <w:lang w:val="en-US" w:eastAsia="zh-CN"/>
        </w:rPr>
        <w:t>315.8</w:t>
      </w:r>
      <w:r>
        <w:rPr>
          <w:rFonts w:hint="eastAsia" w:ascii="宋体" w:hAnsi="宋体" w:eastAsia="仿宋_GB2312" w:cs="Times New Roman"/>
          <w:sz w:val="32"/>
          <w:szCs w:val="32"/>
        </w:rPr>
        <w:t>万元，占</w:t>
      </w:r>
      <w:r>
        <w:rPr>
          <w:rFonts w:hint="eastAsia" w:ascii="宋体" w:hAnsi="宋体" w:eastAsia="仿宋_GB2312" w:cs="Times New Roman"/>
          <w:sz w:val="32"/>
          <w:szCs w:val="32"/>
          <w:lang w:val="en-US" w:eastAsia="zh-CN"/>
        </w:rPr>
        <w:t>8.9</w:t>
      </w:r>
      <w:r>
        <w:rPr>
          <w:rFonts w:hint="eastAsia" w:ascii="宋体" w:hAnsi="宋体" w:eastAsia="仿宋_GB2312" w:cs="Times New Roman"/>
          <w:sz w:val="32"/>
          <w:szCs w:val="32"/>
        </w:rPr>
        <w:t>%；2240103机关服务</w:t>
      </w:r>
      <w:r>
        <w:rPr>
          <w:rFonts w:hint="eastAsia" w:ascii="宋体" w:hAnsi="宋体" w:eastAsia="仿宋_GB2312" w:cs="Times New Roman"/>
          <w:sz w:val="32"/>
          <w:szCs w:val="32"/>
          <w:lang w:eastAsia="zh-CN"/>
        </w:rPr>
        <w:t>支出</w:t>
      </w:r>
      <w:r>
        <w:rPr>
          <w:rFonts w:hint="eastAsia" w:ascii="宋体" w:hAnsi="宋体" w:eastAsia="仿宋_GB2312" w:cs="Times New Roman"/>
          <w:sz w:val="32"/>
          <w:szCs w:val="32"/>
          <w:lang w:val="en-US" w:eastAsia="zh-CN"/>
        </w:rPr>
        <w:t>1376.68万元，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38.78</w:t>
      </w:r>
      <w:r>
        <w:rPr>
          <w:rFonts w:hint="eastAsia" w:ascii="宋体" w:hAnsi="宋体" w:eastAsia="仿宋_GB2312" w:cs="Times New Roman"/>
          <w:sz w:val="32"/>
          <w:szCs w:val="32"/>
        </w:rPr>
        <w:t>%；2240104灾害风险防治</w:t>
      </w:r>
      <w:r>
        <w:rPr>
          <w:rFonts w:hint="eastAsia" w:ascii="宋体" w:hAnsi="宋体" w:eastAsia="仿宋_GB2312" w:cs="Times New Roman"/>
          <w:sz w:val="32"/>
          <w:szCs w:val="32"/>
          <w:lang w:eastAsia="zh-CN"/>
        </w:rPr>
        <w:t>支出</w:t>
      </w:r>
      <w:r>
        <w:rPr>
          <w:rFonts w:hint="eastAsia" w:ascii="宋体" w:hAnsi="宋体" w:eastAsia="仿宋_GB2312" w:cs="Times New Roman"/>
          <w:sz w:val="32"/>
          <w:szCs w:val="32"/>
          <w:lang w:val="en-US" w:eastAsia="zh-CN"/>
        </w:rPr>
        <w:t>786.56万元，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22.15</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；2240199其他应急管理支出</w:t>
      </w:r>
      <w:r>
        <w:rPr>
          <w:rFonts w:hint="eastAsia" w:ascii="宋体" w:hAnsi="宋体" w:eastAsia="仿宋_GB2312" w:cs="Times New Roman"/>
          <w:sz w:val="32"/>
          <w:szCs w:val="32"/>
          <w:lang w:val="en-US" w:eastAsia="zh-CN"/>
        </w:rPr>
        <w:t>25万元，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0.7</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w:t>
      </w:r>
      <w:r>
        <w:rPr>
          <w:rFonts w:hint="eastAsia" w:ascii="宋体" w:hAnsi="宋体" w:eastAsia="仿宋_GB2312" w:cs="Times New Roman"/>
          <w:sz w:val="32"/>
          <w:szCs w:val="32"/>
        </w:rPr>
        <w:t>2240299其他消防事务支出</w:t>
      </w:r>
      <w:r>
        <w:rPr>
          <w:rFonts w:hint="eastAsia" w:ascii="宋体" w:hAnsi="宋体" w:eastAsia="仿宋_GB2312" w:cs="Times New Roman"/>
          <w:sz w:val="32"/>
          <w:szCs w:val="32"/>
          <w:lang w:val="en-US" w:eastAsia="zh-CN"/>
        </w:rPr>
        <w:t>155.01万元，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4.4</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；2240503机关服务支出</w:t>
      </w:r>
      <w:r>
        <w:rPr>
          <w:rFonts w:hint="eastAsia" w:ascii="宋体" w:hAnsi="宋体" w:eastAsia="仿宋_GB2312" w:cs="Times New Roman"/>
          <w:sz w:val="32"/>
          <w:szCs w:val="32"/>
          <w:lang w:val="en-US" w:eastAsia="zh-CN"/>
        </w:rPr>
        <w:t>2.04万元，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0.06</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；2240703自然灾害救灾补助支出</w:t>
      </w:r>
      <w:r>
        <w:rPr>
          <w:rFonts w:hint="eastAsia" w:ascii="宋体" w:hAnsi="宋体" w:eastAsia="仿宋_GB2312" w:cs="Times New Roman"/>
          <w:sz w:val="32"/>
          <w:szCs w:val="32"/>
          <w:lang w:val="en-US" w:eastAsia="zh-CN"/>
        </w:rPr>
        <w:t>341万元，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9.6</w:t>
      </w:r>
      <w:r>
        <w:rPr>
          <w:rFonts w:hint="eastAsia" w:ascii="宋体" w:hAnsi="宋体" w:eastAsia="仿宋_GB2312" w:cs="Times New Roman"/>
          <w:sz w:val="32"/>
          <w:szCs w:val="32"/>
        </w:rPr>
        <w:t>%</w:t>
      </w:r>
      <w:r>
        <w:rPr>
          <w:rFonts w:hint="eastAsia" w:ascii="宋体" w:hAnsi="宋体" w:eastAsia="仿宋_GB2312" w:cs="Times New Roman"/>
          <w:sz w:val="32"/>
          <w:szCs w:val="32"/>
          <w:lang w:eastAsia="zh-CN"/>
        </w:rPr>
        <w:t>；2299999其他支出</w:t>
      </w:r>
      <w:r>
        <w:rPr>
          <w:rFonts w:hint="eastAsia" w:ascii="宋体" w:hAnsi="宋体" w:eastAsia="仿宋_GB2312" w:cs="Times New Roman"/>
          <w:sz w:val="32"/>
          <w:szCs w:val="32"/>
          <w:lang w:val="en-US" w:eastAsia="zh-CN"/>
        </w:rPr>
        <w:t>4万元，</w:t>
      </w:r>
      <w:r>
        <w:rPr>
          <w:rFonts w:hint="eastAsia" w:ascii="宋体" w:hAnsi="宋体" w:eastAsia="仿宋_GB2312" w:cs="Times New Roman"/>
          <w:sz w:val="32"/>
          <w:szCs w:val="32"/>
        </w:rPr>
        <w:t>占</w:t>
      </w:r>
      <w:r>
        <w:rPr>
          <w:rFonts w:hint="eastAsia" w:ascii="宋体" w:hAnsi="宋体" w:eastAsia="仿宋_GB2312" w:cs="Times New Roman"/>
          <w:sz w:val="32"/>
          <w:szCs w:val="32"/>
          <w:lang w:val="en-US" w:eastAsia="zh-CN"/>
        </w:rPr>
        <w:t>0.1</w:t>
      </w:r>
      <w:r>
        <w:rPr>
          <w:rFonts w:hint="eastAsia" w:ascii="宋体" w:hAnsi="宋体" w:eastAsia="仿宋_GB2312" w:cs="Times New Roman"/>
          <w:sz w:val="32"/>
          <w:szCs w:val="32"/>
        </w:rPr>
        <w:t>%</w:t>
      </w:r>
      <w:r>
        <w:rPr>
          <w:rFonts w:hint="eastAsia" w:ascii="仿宋" w:hAnsi="仿宋" w:eastAsia="仿宋" w:cs="仿宋"/>
          <w:spacing w:val="4"/>
          <w:sz w:val="32"/>
          <w:szCs w:val="32"/>
        </w:rPr>
        <w:t>。</w:t>
      </w:r>
    </w:p>
    <w:p>
      <w:pPr>
        <w:rPr>
          <w:rFonts w:ascii="宋体" w:hAnsi="宋体" w:eastAsia="仿宋_GB2312" w:cs="Times New Roman"/>
          <w:sz w:val="32"/>
          <w:szCs w:val="32"/>
        </w:rPr>
      </w:pPr>
      <w:r>
        <w:rPr>
          <w:rFonts w:hint="eastAsia" w:ascii="宋体" w:hAnsi="宋体" w:eastAsia="仿宋_GB2312" w:cs="Times New Roman"/>
          <w:sz w:val="32"/>
          <w:szCs w:val="32"/>
        </w:rPr>
        <w:t>3.一般公共预算财政拨款支出决算具体情况。</w:t>
      </w:r>
    </w:p>
    <w:p>
      <w:pPr>
        <w:ind w:firstLine="640" w:firstLineChars="200"/>
        <w:rPr>
          <w:rFonts w:ascii="仿宋" w:hAnsi="仿宋" w:eastAsia="仿宋" w:cs="仿宋"/>
          <w:spacing w:val="4"/>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年度一般公共预算财政拨款支出当年调整预算数</w:t>
      </w:r>
      <w:r>
        <w:rPr>
          <w:rFonts w:hint="eastAsia" w:ascii="宋体" w:hAnsi="宋体" w:eastAsia="仿宋_GB2312" w:cs="Times New Roman"/>
          <w:sz w:val="32"/>
          <w:szCs w:val="32"/>
          <w:lang w:val="en-US" w:eastAsia="zh-CN"/>
        </w:rPr>
        <w:t>3549.94</w:t>
      </w:r>
      <w:r>
        <w:rPr>
          <w:rFonts w:hint="eastAsia" w:ascii="宋体" w:hAnsi="宋体" w:eastAsia="仿宋_GB2312" w:cs="Times New Roman"/>
          <w:sz w:val="32"/>
          <w:szCs w:val="32"/>
        </w:rPr>
        <w:t>万元，支出决算为</w:t>
      </w:r>
      <w:r>
        <w:rPr>
          <w:rFonts w:hint="eastAsia" w:ascii="宋体" w:hAnsi="宋体" w:eastAsia="仿宋_GB2312" w:cs="Times New Roman"/>
          <w:sz w:val="32"/>
          <w:szCs w:val="32"/>
          <w:lang w:val="en-US" w:eastAsia="zh-CN"/>
        </w:rPr>
        <w:t>3549.94</w:t>
      </w:r>
      <w:r>
        <w:rPr>
          <w:rFonts w:hint="eastAsia" w:ascii="宋体" w:hAnsi="宋体" w:eastAsia="仿宋_GB2312" w:cs="Times New Roman"/>
          <w:sz w:val="32"/>
          <w:szCs w:val="32"/>
        </w:rPr>
        <w:t>万元，完成当年调整预算的</w:t>
      </w:r>
      <w:r>
        <w:rPr>
          <w:rFonts w:hint="eastAsia" w:ascii="宋体" w:hAnsi="宋体" w:eastAsia="仿宋_GB2312" w:cs="Times New Roman"/>
          <w:sz w:val="32"/>
          <w:szCs w:val="32"/>
          <w:lang w:val="en-US" w:eastAsia="zh-CN"/>
        </w:rPr>
        <w:t>100</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六、一般公共预算财政拨款基本支出决算情况说明</w:t>
      </w:r>
      <w:bookmarkEnd w:id="14"/>
      <w:bookmarkEnd w:id="15"/>
    </w:p>
    <w:p>
      <w:pPr>
        <w:ind w:firstLine="640" w:firstLineChars="200"/>
        <w:rPr>
          <w:rFonts w:ascii="宋体" w:hAnsi="宋体" w:eastAsia="仿宋_GB2312" w:cs="Times New Roman"/>
          <w:sz w:val="32"/>
          <w:szCs w:val="32"/>
        </w:rPr>
      </w:pPr>
      <w:bookmarkStart w:id="16" w:name="_Toc28951_WPSOffice_Level2"/>
      <w:bookmarkStart w:id="17" w:name="_Toc21993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 xml:space="preserve"> 年度财政拨款基本支出</w:t>
      </w:r>
      <w:r>
        <w:rPr>
          <w:rFonts w:hint="eastAsia" w:ascii="宋体" w:hAnsi="宋体" w:eastAsia="仿宋_GB2312" w:cs="Times New Roman"/>
          <w:sz w:val="32"/>
          <w:szCs w:val="32"/>
          <w:lang w:val="en-US" w:eastAsia="zh-CN"/>
        </w:rPr>
        <w:t>1194.66</w:t>
      </w:r>
      <w:r>
        <w:rPr>
          <w:rFonts w:hint="eastAsia" w:ascii="宋体" w:hAnsi="宋体" w:eastAsia="仿宋_GB2312" w:cs="Times New Roman"/>
          <w:sz w:val="32"/>
          <w:szCs w:val="32"/>
        </w:rPr>
        <w:t>万元，其中：人员经费</w:t>
      </w:r>
      <w:r>
        <w:rPr>
          <w:rFonts w:hint="eastAsia" w:ascii="仿宋" w:hAnsi="仿宋" w:eastAsia="仿宋" w:cs="仿宋"/>
          <w:spacing w:val="4"/>
          <w:sz w:val="32"/>
          <w:szCs w:val="32"/>
          <w:lang w:val="en-US" w:eastAsia="zh-CN"/>
        </w:rPr>
        <w:t>1170.19</w:t>
      </w:r>
      <w:r>
        <w:rPr>
          <w:rFonts w:hint="eastAsia" w:ascii="宋体" w:hAnsi="宋体" w:eastAsia="仿宋_GB2312" w:cs="Times New Roman"/>
          <w:sz w:val="32"/>
          <w:szCs w:val="32"/>
        </w:rPr>
        <w:t>万元，主要包括工资福利支出</w:t>
      </w:r>
      <w:r>
        <w:rPr>
          <w:rFonts w:hint="eastAsia" w:ascii="仿宋" w:hAnsi="仿宋" w:eastAsia="仿宋" w:cs="仿宋"/>
          <w:spacing w:val="4"/>
          <w:sz w:val="32"/>
          <w:szCs w:val="32"/>
        </w:rPr>
        <w:t>1134.19</w:t>
      </w:r>
      <w:r>
        <w:rPr>
          <w:rFonts w:hint="eastAsia" w:ascii="宋体" w:hAnsi="宋体" w:eastAsia="仿宋_GB2312" w:cs="Times New Roman"/>
          <w:sz w:val="32"/>
          <w:szCs w:val="32"/>
        </w:rPr>
        <w:t>万元和对个人和家庭的补助</w:t>
      </w:r>
      <w:r>
        <w:rPr>
          <w:rFonts w:hint="eastAsia" w:ascii="仿宋" w:hAnsi="仿宋" w:eastAsia="仿宋" w:cs="仿宋"/>
          <w:spacing w:val="4"/>
          <w:sz w:val="32"/>
          <w:szCs w:val="32"/>
        </w:rPr>
        <w:t>36</w:t>
      </w:r>
      <w:r>
        <w:rPr>
          <w:rFonts w:hint="eastAsia" w:ascii="宋体" w:hAnsi="宋体" w:eastAsia="仿宋_GB2312" w:cs="Times New Roman"/>
          <w:sz w:val="32"/>
          <w:szCs w:val="32"/>
        </w:rPr>
        <w:t>万元；公用经费</w:t>
      </w:r>
      <w:r>
        <w:rPr>
          <w:rFonts w:hint="eastAsia" w:ascii="仿宋" w:hAnsi="仿宋" w:eastAsia="仿宋" w:cs="仿宋"/>
          <w:spacing w:val="4"/>
          <w:sz w:val="32"/>
          <w:szCs w:val="32"/>
          <w:lang w:val="en-US" w:eastAsia="zh-CN"/>
        </w:rPr>
        <w:t>24.47</w:t>
      </w:r>
      <w:r>
        <w:rPr>
          <w:rFonts w:hint="eastAsia" w:ascii="宋体" w:hAnsi="宋体" w:eastAsia="仿宋_GB2312" w:cs="Times New Roman"/>
          <w:sz w:val="32"/>
          <w:szCs w:val="32"/>
        </w:rPr>
        <w:t xml:space="preserve">万元，主要包括商品和服务支出 </w:t>
      </w:r>
      <w:r>
        <w:rPr>
          <w:rFonts w:hint="eastAsia" w:ascii="仿宋" w:hAnsi="仿宋" w:eastAsia="仿宋" w:cs="仿宋"/>
          <w:spacing w:val="4"/>
          <w:sz w:val="32"/>
          <w:szCs w:val="32"/>
          <w:lang w:val="en-US" w:eastAsia="zh-CN"/>
        </w:rPr>
        <w:t>24.47</w:t>
      </w:r>
      <w:r>
        <w:rPr>
          <w:rFonts w:hint="eastAsia" w:ascii="宋体" w:hAnsi="宋体" w:eastAsia="仿宋_GB2312" w:cs="Times New Roman"/>
          <w:sz w:val="32"/>
          <w:szCs w:val="32"/>
        </w:rPr>
        <w:t>万元和资本性支出</w:t>
      </w:r>
      <w:r>
        <w:rPr>
          <w:rFonts w:hint="eastAsia" w:ascii="仿宋" w:hAnsi="仿宋" w:eastAsia="仿宋" w:cs="仿宋"/>
          <w:spacing w:val="4"/>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七、一般公共预算财政拨款“三公”经费支出决算情况说明</w:t>
      </w:r>
      <w:bookmarkEnd w:id="16"/>
      <w:bookmarkEnd w:id="17"/>
    </w:p>
    <w:p>
      <w:pPr>
        <w:ind w:firstLine="640" w:firstLineChars="200"/>
        <w:rPr>
          <w:rFonts w:ascii="宋体" w:hAnsi="宋体" w:eastAsia="仿宋_GB2312" w:cs="Times New Roman"/>
          <w:sz w:val="32"/>
          <w:szCs w:val="32"/>
        </w:rPr>
      </w:pPr>
      <w:bookmarkStart w:id="18" w:name="_Toc10214_WPSOffice_Level2"/>
      <w:bookmarkStart w:id="19" w:name="_Toc9131_WPSOffice_Level2"/>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w:t>
      </w:r>
      <w:r>
        <w:rPr>
          <w:rFonts w:hint="eastAsia" w:ascii="宋体" w:hAnsi="宋体" w:eastAsia="仿宋_GB2312" w:cs="Times New Roman"/>
          <w:sz w:val="32"/>
          <w:szCs w:val="32"/>
          <w:lang w:eastAsia="zh-CN"/>
        </w:rPr>
        <w:t>预算数</w:t>
      </w:r>
      <w:r>
        <w:rPr>
          <w:rFonts w:hint="eastAsia" w:ascii="仿宋" w:hAnsi="仿宋" w:eastAsia="仿宋" w:cs="仿宋"/>
          <w:spacing w:val="4"/>
          <w:sz w:val="32"/>
          <w:szCs w:val="32"/>
          <w:lang w:val="en-US" w:eastAsia="zh-CN"/>
        </w:rPr>
        <w:t>6.79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年“三公”经费一般公共</w:t>
      </w:r>
      <w:r>
        <w:rPr>
          <w:rFonts w:hint="eastAsia" w:ascii="宋体" w:hAnsi="宋体" w:eastAsia="仿宋_GB2312" w:cs="Times New Roman"/>
          <w:sz w:val="32"/>
          <w:szCs w:val="32"/>
          <w:lang w:eastAsia="zh-CN"/>
        </w:rPr>
        <w:t>预算</w:t>
      </w:r>
      <w:r>
        <w:rPr>
          <w:rFonts w:hint="eastAsia" w:ascii="宋体" w:hAnsi="宋体" w:eastAsia="仿宋_GB2312" w:cs="Times New Roman"/>
          <w:sz w:val="32"/>
          <w:szCs w:val="32"/>
        </w:rPr>
        <w:t>财政拨款支出决算</w:t>
      </w:r>
      <w:r>
        <w:rPr>
          <w:rFonts w:hint="eastAsia" w:ascii="宋体" w:hAnsi="宋体" w:eastAsia="仿宋_GB2312" w:cs="Times New Roman"/>
          <w:sz w:val="32"/>
          <w:szCs w:val="32"/>
          <w:lang w:eastAsia="zh-CN"/>
        </w:rPr>
        <w:t>数</w:t>
      </w:r>
      <w:r>
        <w:rPr>
          <w:rFonts w:hint="eastAsia" w:ascii="仿宋" w:hAnsi="仿宋" w:eastAsia="仿宋" w:cs="仿宋"/>
          <w:spacing w:val="4"/>
          <w:sz w:val="32"/>
          <w:szCs w:val="32"/>
          <w:lang w:val="en-US" w:eastAsia="zh-CN"/>
        </w:rPr>
        <w:t>6.79</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与同年预算相比无变动；</w:t>
      </w:r>
      <w:r>
        <w:rPr>
          <w:rFonts w:hint="eastAsia" w:ascii="宋体" w:hAnsi="宋体" w:eastAsia="仿宋_GB2312" w:cs="Times New Roman"/>
          <w:sz w:val="32"/>
          <w:szCs w:val="32"/>
        </w:rPr>
        <w:t>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w:t>
      </w:r>
      <w:r>
        <w:rPr>
          <w:rFonts w:hint="eastAsia" w:ascii="宋体" w:hAnsi="宋体" w:eastAsia="仿宋_GB2312" w:cs="Times New Roman"/>
          <w:sz w:val="32"/>
          <w:szCs w:val="32"/>
          <w:lang w:eastAsia="zh-CN"/>
        </w:rPr>
        <w:t>决算数减少</w:t>
      </w:r>
      <w:r>
        <w:rPr>
          <w:rFonts w:hint="eastAsia" w:ascii="仿宋" w:hAnsi="仿宋" w:eastAsia="仿宋" w:cs="仿宋"/>
          <w:spacing w:val="4"/>
          <w:sz w:val="32"/>
          <w:szCs w:val="32"/>
          <w:lang w:val="en-US" w:eastAsia="zh-CN"/>
        </w:rPr>
        <w:t>0.11</w:t>
      </w:r>
      <w:r>
        <w:rPr>
          <w:rFonts w:hint="eastAsia" w:ascii="宋体" w:hAnsi="宋体" w:eastAsia="仿宋_GB2312" w:cs="Times New Roman"/>
          <w:sz w:val="32"/>
          <w:szCs w:val="32"/>
        </w:rPr>
        <w:t>万元</w:t>
      </w:r>
      <w:r>
        <w:rPr>
          <w:rFonts w:hint="eastAsia" w:ascii="宋体" w:hAnsi="宋体" w:eastAsia="仿宋_GB2312" w:cs="Times New Roman"/>
          <w:sz w:val="32"/>
          <w:szCs w:val="32"/>
          <w:lang w:eastAsia="zh-CN"/>
        </w:rPr>
        <w:t>，原因是压减三公经费</w:t>
      </w:r>
      <w:r>
        <w:rPr>
          <w:rFonts w:hint="eastAsia" w:ascii="宋体" w:hAnsi="宋体" w:eastAsia="仿宋_GB2312" w:cs="Times New Roman"/>
          <w:sz w:val="32"/>
          <w:szCs w:val="32"/>
        </w:rPr>
        <w:t>。其中：因公出国（境）费用</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；公务接待费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；公务用车运行维护费</w:t>
      </w:r>
      <w:r>
        <w:rPr>
          <w:rFonts w:hint="eastAsia" w:ascii="仿宋" w:hAnsi="仿宋" w:eastAsia="仿宋" w:cs="仿宋"/>
          <w:spacing w:val="4"/>
          <w:sz w:val="32"/>
          <w:szCs w:val="32"/>
          <w:lang w:val="en-US" w:eastAsia="zh-CN"/>
        </w:rPr>
        <w:t>6.79</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减少</w:t>
      </w:r>
      <w:r>
        <w:rPr>
          <w:rFonts w:hint="eastAsia" w:ascii="宋体" w:hAnsi="宋体" w:eastAsia="仿宋_GB2312" w:cs="Times New Roman"/>
          <w:sz w:val="32"/>
          <w:szCs w:val="32"/>
          <w:lang w:val="en-US" w:eastAsia="zh-CN"/>
        </w:rPr>
        <w:t>0.11</w:t>
      </w:r>
      <w:r>
        <w:rPr>
          <w:rFonts w:hint="eastAsia" w:ascii="宋体" w:hAnsi="宋体" w:eastAsia="仿宋_GB2312" w:cs="Times New Roman"/>
          <w:sz w:val="32"/>
          <w:szCs w:val="32"/>
        </w:rPr>
        <w:t>万元，原因是</w:t>
      </w:r>
      <w:r>
        <w:rPr>
          <w:rFonts w:hint="eastAsia" w:ascii="宋体" w:hAnsi="宋体" w:eastAsia="仿宋_GB2312" w:cs="Times New Roman"/>
          <w:sz w:val="32"/>
          <w:szCs w:val="32"/>
          <w:lang w:eastAsia="zh-CN"/>
        </w:rPr>
        <w:t>压减三公经费</w:t>
      </w:r>
      <w:r>
        <w:rPr>
          <w:rFonts w:hint="eastAsia" w:ascii="宋体" w:hAnsi="宋体" w:eastAsia="仿宋_GB2312" w:cs="Times New Roman"/>
          <w:sz w:val="32"/>
          <w:szCs w:val="32"/>
        </w:rPr>
        <w:t>；公务用车购置费</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万元，比上年</w:t>
      </w:r>
      <w:r>
        <w:rPr>
          <w:rFonts w:hint="eastAsia" w:ascii="宋体" w:hAnsi="宋体" w:eastAsia="仿宋_GB2312" w:cs="Times New Roman"/>
          <w:sz w:val="32"/>
          <w:szCs w:val="32"/>
          <w:lang w:eastAsia="zh-CN"/>
        </w:rPr>
        <w:t>无变动</w:t>
      </w:r>
      <w:r>
        <w:rPr>
          <w:rFonts w:hint="eastAsia" w:ascii="宋体" w:hAnsi="宋体" w:eastAsia="仿宋_GB2312" w:cs="Times New Roman"/>
          <w:sz w:val="32"/>
          <w:szCs w:val="32"/>
        </w:rPr>
        <w:t>。</w:t>
      </w:r>
    </w:p>
    <w:bookmarkEnd w:id="18"/>
    <w:bookmarkEnd w:id="19"/>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政府性基金预算收入支出决算情况说明</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年政府性基金预算财政拨款本年收入</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万元，本年支出</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numPr>
          <w:ilvl w:val="0"/>
          <w:numId w:val="3"/>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其他重要事项的情况说明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1.机关运行经费支出情况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单位机关运行经费支出</w:t>
      </w:r>
      <w:r>
        <w:rPr>
          <w:rFonts w:hint="eastAsia" w:ascii="宋体" w:hAnsi="宋体" w:eastAsia="仿宋_GB2312" w:cs="Times New Roman"/>
          <w:sz w:val="32"/>
          <w:szCs w:val="32"/>
          <w:lang w:val="en-US" w:eastAsia="zh-CN"/>
        </w:rPr>
        <w:t>19.64</w:t>
      </w:r>
      <w:r>
        <w:rPr>
          <w:rFonts w:hint="eastAsia" w:ascii="宋体" w:hAnsi="宋体" w:eastAsia="仿宋_GB2312" w:cs="Times New Roman"/>
          <w:sz w:val="32"/>
          <w:szCs w:val="32"/>
        </w:rPr>
        <w:t>万元，比</w:t>
      </w:r>
      <w:r>
        <w:rPr>
          <w:rFonts w:hint="eastAsia" w:ascii="宋体" w:hAnsi="宋体" w:eastAsia="仿宋_GB2312" w:cs="Times New Roman"/>
          <w:sz w:val="32"/>
          <w:szCs w:val="32"/>
          <w:lang w:eastAsia="zh-CN"/>
        </w:rPr>
        <w:t>2020</w:t>
      </w:r>
      <w:r>
        <w:rPr>
          <w:rFonts w:hint="eastAsia" w:ascii="宋体" w:hAnsi="宋体" w:eastAsia="仿宋_GB2312" w:cs="Times New Roman"/>
          <w:sz w:val="32"/>
          <w:szCs w:val="32"/>
        </w:rPr>
        <w:t>年减少</w:t>
      </w:r>
      <w:r>
        <w:rPr>
          <w:rFonts w:hint="eastAsia" w:ascii="宋体" w:hAnsi="宋体" w:eastAsia="仿宋_GB2312" w:cs="Times New Roman"/>
          <w:sz w:val="32"/>
          <w:szCs w:val="32"/>
          <w:lang w:val="en-US" w:eastAsia="zh-CN"/>
        </w:rPr>
        <w:t>13.44</w:t>
      </w:r>
      <w:r>
        <w:rPr>
          <w:rFonts w:hint="eastAsia" w:ascii="宋体" w:hAnsi="宋体" w:eastAsia="仿宋_GB2312" w:cs="Times New Roman"/>
          <w:sz w:val="32"/>
          <w:szCs w:val="32"/>
        </w:rPr>
        <w:t>万元，降低</w:t>
      </w:r>
      <w:r>
        <w:rPr>
          <w:rFonts w:hint="eastAsia" w:ascii="宋体" w:hAnsi="宋体" w:eastAsia="仿宋_GB2312" w:cs="Times New Roman"/>
          <w:sz w:val="32"/>
          <w:szCs w:val="32"/>
          <w:lang w:val="en-US" w:eastAsia="zh-CN"/>
        </w:rPr>
        <w:t>59.37</w:t>
      </w:r>
      <w:r>
        <w:rPr>
          <w:rFonts w:hint="eastAsia" w:ascii="宋体" w:hAnsi="宋体" w:eastAsia="仿宋_GB2312" w:cs="Times New Roman"/>
          <w:sz w:val="32"/>
          <w:szCs w:val="32"/>
        </w:rPr>
        <w:t>%，主要原因是</w:t>
      </w:r>
      <w:r>
        <w:rPr>
          <w:rFonts w:hint="eastAsia" w:ascii="宋体" w:hAnsi="宋体" w:eastAsia="仿宋_GB2312" w:cs="Times New Roman"/>
          <w:sz w:val="32"/>
          <w:szCs w:val="32"/>
          <w:lang w:eastAsia="zh-CN"/>
        </w:rPr>
        <w:t>压减一般性支出</w:t>
      </w:r>
      <w:r>
        <w:rPr>
          <w:rFonts w:hint="eastAsia" w:ascii="宋体" w:hAnsi="宋体" w:eastAsia="仿宋_GB2312" w:cs="Times New Roman"/>
          <w:sz w:val="32"/>
          <w:szCs w:val="32"/>
        </w:rPr>
        <w:t>。</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2.政府采购支出情况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年我单位政府采购总额</w:t>
      </w:r>
      <w:r>
        <w:rPr>
          <w:rFonts w:hint="eastAsia" w:ascii="仿宋" w:hAnsi="仿宋" w:eastAsia="仿宋" w:cs="仿宋"/>
          <w:spacing w:val="4"/>
          <w:sz w:val="32"/>
          <w:szCs w:val="32"/>
          <w:lang w:val="en-US" w:eastAsia="zh-CN"/>
        </w:rPr>
        <w:t>360.65</w:t>
      </w:r>
      <w:r>
        <w:rPr>
          <w:rFonts w:hint="eastAsia" w:ascii="宋体" w:hAnsi="宋体" w:eastAsia="仿宋_GB2312" w:cs="Times New Roman"/>
          <w:sz w:val="32"/>
          <w:szCs w:val="32"/>
        </w:rPr>
        <w:t>万元，其中：政府采购货物</w:t>
      </w:r>
      <w:r>
        <w:rPr>
          <w:rFonts w:hint="eastAsia" w:ascii="仿宋" w:hAnsi="仿宋" w:eastAsia="仿宋" w:cs="仿宋"/>
          <w:spacing w:val="4"/>
          <w:sz w:val="32"/>
          <w:szCs w:val="32"/>
          <w:lang w:val="en-US" w:eastAsia="zh-CN"/>
        </w:rPr>
        <w:t>360.65</w:t>
      </w:r>
      <w:r>
        <w:rPr>
          <w:rFonts w:hint="eastAsia" w:ascii="宋体" w:hAnsi="宋体" w:eastAsia="仿宋_GB2312" w:cs="Times New Roman"/>
          <w:sz w:val="32"/>
          <w:szCs w:val="32"/>
        </w:rPr>
        <w:t>万元、政府采购工程</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万元、政府采购服务</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万元。</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3、国有资产占有情况</w:t>
      </w:r>
    </w:p>
    <w:p>
      <w:pPr>
        <w:ind w:firstLine="640" w:firstLineChars="200"/>
        <w:rPr>
          <w:rFonts w:ascii="宋体" w:hAnsi="宋体" w:eastAsia="仿宋_GB2312" w:cs="Times New Roman"/>
          <w:sz w:val="32"/>
          <w:szCs w:val="32"/>
        </w:rPr>
      </w:pPr>
      <w:r>
        <w:rPr>
          <w:rFonts w:hint="eastAsia" w:ascii="宋体" w:hAnsi="宋体" w:eastAsia="仿宋_GB2312" w:cs="Times New Roman"/>
          <w:sz w:val="32"/>
          <w:szCs w:val="32"/>
        </w:rPr>
        <w:t>截至</w:t>
      </w:r>
      <w:r>
        <w:rPr>
          <w:rFonts w:hint="eastAsia" w:ascii="宋体" w:hAnsi="宋体" w:eastAsia="仿宋_GB2312" w:cs="Times New Roman"/>
          <w:sz w:val="32"/>
          <w:szCs w:val="32"/>
          <w:lang w:eastAsia="zh-CN"/>
        </w:rPr>
        <w:t>2021</w:t>
      </w:r>
      <w:r>
        <w:rPr>
          <w:rFonts w:hint="eastAsia" w:ascii="宋体" w:hAnsi="宋体" w:eastAsia="仿宋_GB2312" w:cs="Times New Roman"/>
          <w:sz w:val="32"/>
          <w:szCs w:val="32"/>
        </w:rPr>
        <w:t>年12月31日，本部门共有车辆</w:t>
      </w:r>
      <w:r>
        <w:rPr>
          <w:rFonts w:hint="eastAsia" w:ascii="宋体" w:hAnsi="宋体" w:eastAsia="仿宋_GB2312" w:cs="Times New Roman"/>
          <w:sz w:val="32"/>
          <w:szCs w:val="32"/>
          <w:lang w:val="en-US" w:eastAsia="zh-CN"/>
        </w:rPr>
        <w:t>3</w:t>
      </w:r>
      <w:r>
        <w:rPr>
          <w:rFonts w:hint="eastAsia" w:ascii="宋体" w:hAnsi="宋体" w:eastAsia="仿宋_GB2312" w:cs="Times New Roman"/>
          <w:sz w:val="32"/>
          <w:szCs w:val="32"/>
        </w:rPr>
        <w:t>辆，其中，主要领导干部用车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辆、机要通信用车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辆、应急保障用车</w:t>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rPr>
        <w:t>辆、执法执勤用车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辆、特种专业技术用车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辆、离退休干部用车</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辆、其他用车</w:t>
      </w:r>
      <w:r>
        <w:rPr>
          <w:rFonts w:hint="eastAsia" w:ascii="宋体" w:hAnsi="宋体" w:eastAsia="仿宋_GB2312" w:cs="Times New Roman"/>
          <w:sz w:val="32"/>
          <w:szCs w:val="32"/>
          <w:lang w:val="en-US" w:eastAsia="zh-CN"/>
        </w:rPr>
        <w:t>2</w:t>
      </w:r>
      <w:r>
        <w:rPr>
          <w:rFonts w:hint="eastAsia" w:ascii="宋体" w:hAnsi="宋体" w:eastAsia="仿宋_GB2312" w:cs="Times New Roman"/>
          <w:sz w:val="32"/>
          <w:szCs w:val="32"/>
        </w:rPr>
        <w:t>辆， 单价50万元（含）以上的通用设备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 单价100万元（含）以上专用设备</w:t>
      </w:r>
      <w:r>
        <w:rPr>
          <w:rFonts w:hint="eastAsia" w:ascii="宋体" w:hAnsi="宋体" w:eastAsia="仿宋_GB2312" w:cs="Times New Roman"/>
          <w:sz w:val="32"/>
          <w:szCs w:val="32"/>
          <w:lang w:val="en-US" w:eastAsia="zh-CN"/>
        </w:rPr>
        <w:t>0</w:t>
      </w:r>
      <w:r>
        <w:rPr>
          <w:rFonts w:hint="eastAsia" w:ascii="宋体" w:hAnsi="宋体" w:eastAsia="仿宋_GB2312" w:cs="Times New Roman"/>
          <w:sz w:val="32"/>
          <w:szCs w:val="32"/>
        </w:rPr>
        <w:t>台（套）。</w:t>
      </w:r>
    </w:p>
    <w:p>
      <w:pPr>
        <w:numPr>
          <w:ilvl w:val="0"/>
          <w:numId w:val="4"/>
        </w:num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绩效管理情况</w:t>
      </w:r>
    </w:p>
    <w:p>
      <w:pPr>
        <w:widowControl/>
        <w:ind w:firstLine="640" w:firstLineChars="200"/>
        <w:jc w:val="left"/>
        <w:rPr>
          <w:rFonts w:hint="eastAsia" w:ascii="仿宋_GB2312" w:hAnsi="仿宋_GB2312" w:eastAsia="仿宋_GB2312" w:cs="仿宋_GB2312"/>
          <w:color w:val="000000"/>
          <w:kern w:val="0"/>
          <w:sz w:val="31"/>
          <w:szCs w:val="31"/>
          <w:lang w:eastAsia="zh-CN"/>
        </w:rPr>
      </w:pPr>
      <w:r>
        <w:rPr>
          <w:rFonts w:hint="eastAsia" w:ascii="宋体" w:hAnsi="宋体" w:eastAsia="仿宋_GB2312" w:cs="Times New Roman"/>
          <w:sz w:val="32"/>
          <w:szCs w:val="32"/>
          <w:lang w:eastAsia="zh-CN"/>
        </w:rPr>
        <w:t>我单位无重点项目等绩效目标情况说明。</w:t>
      </w:r>
    </w:p>
    <w:p>
      <w:pPr>
        <w:spacing w:line="204" w:lineRule="auto"/>
        <w:jc w:val="left"/>
        <w:rPr>
          <w:rFonts w:ascii="楷体" w:hAnsi="楷体" w:eastAsia="楷体" w:cs="楷体"/>
          <w:spacing w:val="-3"/>
          <w:sz w:val="32"/>
          <w:szCs w:val="32"/>
        </w:rPr>
      </w:pPr>
      <w:r>
        <w:rPr>
          <w:rFonts w:hint="eastAsia" w:ascii="楷体" w:hAnsi="楷体" w:eastAsia="楷体" w:cs="楷体"/>
          <w:spacing w:val="-3"/>
          <w:sz w:val="32"/>
          <w:szCs w:val="32"/>
        </w:rPr>
        <w:t>5.政府购买服务指导性目录。</w:t>
      </w:r>
    </w:p>
    <w:p>
      <w:pPr>
        <w:spacing w:line="204" w:lineRule="auto"/>
        <w:ind w:firstLine="656" w:firstLineChars="200"/>
        <w:jc w:val="left"/>
        <w:rPr>
          <w:rFonts w:ascii="仿宋" w:hAnsi="仿宋" w:eastAsia="仿宋" w:cs="仿宋"/>
          <w:spacing w:val="4"/>
          <w:sz w:val="32"/>
          <w:szCs w:val="32"/>
        </w:rPr>
      </w:pPr>
      <w:r>
        <w:rPr>
          <w:rFonts w:hint="eastAsia" w:ascii="仿宋" w:hAnsi="仿宋" w:eastAsia="仿宋" w:cs="仿宋"/>
          <w:spacing w:val="4"/>
          <w:sz w:val="32"/>
          <w:szCs w:val="32"/>
        </w:rPr>
        <w:t>无</w:t>
      </w:r>
    </w:p>
    <w:p>
      <w:pPr>
        <w:ind w:firstLine="2808" w:firstLineChars="900"/>
        <w:outlineLvl w:val="0"/>
        <w:rPr>
          <w:rFonts w:ascii="黑体" w:hAnsi="黑体" w:eastAsia="黑体" w:cs="黑体"/>
          <w:snapToGrid w:val="0"/>
          <w:spacing w:val="-4"/>
          <w:kern w:val="0"/>
          <w:sz w:val="32"/>
          <w:szCs w:val="32"/>
        </w:rPr>
      </w:pPr>
      <w:bookmarkStart w:id="20" w:name="_Toc8549_WPSOffice_Level1"/>
      <w:bookmarkStart w:id="21" w:name="_Toc32537"/>
      <w:r>
        <w:rPr>
          <w:rFonts w:hint="eastAsia" w:ascii="黑体" w:hAnsi="黑体" w:eastAsia="黑体" w:cs="黑体"/>
          <w:snapToGrid w:val="0"/>
          <w:spacing w:val="-4"/>
          <w:kern w:val="0"/>
          <w:sz w:val="32"/>
          <w:szCs w:val="32"/>
        </w:rPr>
        <w:t xml:space="preserve">第四部分 </w:t>
      </w:r>
      <w:r>
        <w:rPr>
          <w:rFonts w:ascii="黑体" w:hAnsi="黑体" w:eastAsia="黑体" w:cs="黑体"/>
          <w:snapToGrid w:val="0"/>
          <w:spacing w:val="-4"/>
          <w:kern w:val="0"/>
          <w:sz w:val="32"/>
          <w:szCs w:val="32"/>
        </w:rPr>
        <w:t>名词解释</w:t>
      </w:r>
      <w:bookmarkEnd w:id="20"/>
      <w:bookmarkEnd w:id="21"/>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财政拨款收入</w:t>
      </w:r>
      <w:r>
        <w:rPr>
          <w:rFonts w:hint="eastAsia" w:ascii="仿宋" w:hAnsi="仿宋" w:eastAsia="仿宋" w:cs="仿宋"/>
          <w:spacing w:val="4"/>
          <w:sz w:val="32"/>
          <w:szCs w:val="32"/>
        </w:rPr>
        <w:t>:指同级财政当年拨付的资金。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上级补助收入</w:t>
      </w:r>
      <w:r>
        <w:rPr>
          <w:rFonts w:hint="eastAsia" w:ascii="仿宋" w:hAnsi="仿宋" w:eastAsia="仿宋" w:cs="仿宋"/>
          <w:spacing w:val="4"/>
          <w:sz w:val="32"/>
          <w:szCs w:val="32"/>
        </w:rPr>
        <w:t>:指事业单位从主管部门和上级单位取得的非财政补助收入。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事业收入</w:t>
      </w:r>
      <w:r>
        <w:rPr>
          <w:rFonts w:hint="eastAsia" w:ascii="仿宋" w:hAnsi="仿宋" w:eastAsia="仿宋" w:cs="仿宋"/>
          <w:spacing w:val="4"/>
          <w:sz w:val="32"/>
          <w:szCs w:val="32"/>
        </w:rPr>
        <w:t>:指事业单位开展专业业务活动及其辅助活动所取得的收入。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经营收入</w:t>
      </w:r>
      <w:r>
        <w:rPr>
          <w:rFonts w:hint="eastAsia" w:ascii="仿宋" w:hAnsi="仿宋" w:eastAsia="仿宋" w:cs="仿宋"/>
          <w:spacing w:val="4"/>
          <w:sz w:val="32"/>
          <w:szCs w:val="32"/>
        </w:rPr>
        <w:t>:指事业单位在专业业务活动及其辅助活动之外开展非独立核算经营活动取得的收入。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附属单位缴款</w:t>
      </w:r>
      <w:r>
        <w:rPr>
          <w:rFonts w:hint="eastAsia" w:ascii="仿宋" w:hAnsi="仿宋" w:eastAsia="仿宋" w:cs="仿宋"/>
          <w:spacing w:val="4"/>
          <w:sz w:val="32"/>
          <w:szCs w:val="32"/>
        </w:rPr>
        <w:t>:指事业单位附属的独立核算单位按有关规定上缴的收入。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其他收入</w:t>
      </w:r>
      <w:r>
        <w:rPr>
          <w:rFonts w:hint="eastAsia" w:ascii="仿宋" w:hAnsi="仿宋" w:eastAsia="仿宋" w:cs="仿宋"/>
          <w:spacing w:val="4"/>
          <w:sz w:val="32"/>
          <w:szCs w:val="32"/>
        </w:rPr>
        <w:t>:指除上述“财政拨款收入”、“事业收入”、“经营收入”、“附属单位缴款”等之外取得的收入。</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用事业基金弥补收支差额</w:t>
      </w:r>
      <w:r>
        <w:rPr>
          <w:rFonts w:hint="eastAsia" w:ascii="仿宋" w:hAnsi="仿宋" w:eastAsia="仿宋" w:cs="仿宋"/>
          <w:spacing w:val="4"/>
          <w:sz w:val="32"/>
          <w:szCs w:val="32"/>
        </w:rPr>
        <w:t>:指事业单位在当年的“财政拨款收入”、“财政</w:t>
      </w:r>
      <w:r>
        <w:rPr>
          <w:rFonts w:hint="eastAsia" w:ascii="仿宋" w:hAnsi="仿宋" w:eastAsia="仿宋" w:cs="仿宋"/>
          <w:spacing w:val="4"/>
          <w:sz w:val="32"/>
          <w:szCs w:val="32"/>
          <w:lang w:eastAsia="zh-CN"/>
        </w:rPr>
        <w:t>拨</w:t>
      </w:r>
      <w:r>
        <w:rPr>
          <w:rFonts w:hint="eastAsia" w:ascii="仿宋" w:hAnsi="仿宋" w:eastAsia="仿宋" w:cs="仿宋"/>
          <w:spacing w:val="4"/>
          <w:sz w:val="32"/>
          <w:szCs w:val="32"/>
        </w:rPr>
        <w:t>款结转和结余资金”、“事业收入”、“事业单位经营收入”、“其他区收入”不足以安排当年支出的情况下，使用以前年度积累的事业基金(即事业单位当年收支相抵后按国家规定提取、用于弥补以后年度收支差额的基金)弥补本年度收支缺口的资金。</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上年结转和结余</w:t>
      </w:r>
      <w:r>
        <w:rPr>
          <w:rFonts w:hint="eastAsia" w:ascii="仿宋" w:hAnsi="仿宋" w:eastAsia="仿宋" w:cs="仿宋"/>
          <w:spacing w:val="4"/>
          <w:sz w:val="32"/>
          <w:szCs w:val="32"/>
        </w:rPr>
        <w:t>：指以前年度支出预算因客观条件变化未执行完毕、结转到本年度按有关规定继续使用的资金，既包括财政拨款结转和结余，也包括事业收入、经营收入、其他收入的结转和结余。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结余分配</w:t>
      </w:r>
      <w:r>
        <w:rPr>
          <w:rFonts w:hint="eastAsia" w:ascii="仿宋" w:hAnsi="仿宋" w:eastAsia="仿宋" w:cs="仿宋"/>
          <w:spacing w:val="4"/>
          <w:sz w:val="32"/>
          <w:szCs w:val="32"/>
        </w:rPr>
        <w:t>：反应单位当年结余的分配情况。</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年末结转和结余</w:t>
      </w:r>
      <w:r>
        <w:rPr>
          <w:rFonts w:hint="eastAsia" w:ascii="仿宋" w:hAnsi="仿宋" w:eastAsia="仿宋" w:cs="仿宋"/>
          <w:spacing w:val="4"/>
          <w:sz w:val="32"/>
          <w:szCs w:val="32"/>
        </w:rPr>
        <w:t>：指本年度或以前年度预算安排、因客观条件发生变化按原计划实施，需要延迟到以后年度按有关规定继续使用的资金，既包括财政拨款结转和结余，也包括事业收入、经营收入、其他收入的结转和结余。</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基本支出</w:t>
      </w:r>
      <w:r>
        <w:rPr>
          <w:rFonts w:hint="eastAsia" w:ascii="仿宋" w:hAnsi="仿宋" w:eastAsia="仿宋" w:cs="仿宋"/>
          <w:spacing w:val="4"/>
          <w:sz w:val="32"/>
          <w:szCs w:val="32"/>
        </w:rPr>
        <w:t>：指为保障机构正常运转、完成日常工作任务而发生的人员支出和公用支出。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项目支出</w:t>
      </w:r>
      <w:r>
        <w:rPr>
          <w:rFonts w:hint="eastAsia" w:ascii="仿宋" w:hAnsi="仿宋" w:eastAsia="仿宋" w:cs="仿宋"/>
          <w:spacing w:val="4"/>
          <w:sz w:val="32"/>
          <w:szCs w:val="32"/>
        </w:rPr>
        <w:t>：指在基本支出之外为完成特定行政任务和事业发展目标所发生的支出。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经营支出</w:t>
      </w:r>
      <w:r>
        <w:rPr>
          <w:rFonts w:hint="eastAsia" w:ascii="仿宋" w:hAnsi="仿宋" w:eastAsia="仿宋" w:cs="仿宋"/>
          <w:spacing w:val="4"/>
          <w:sz w:val="32"/>
          <w:szCs w:val="32"/>
        </w:rPr>
        <w:t>：指事业单位在专业业务活动及其辅助活动之外开展非独立核算经营活动发生的支出。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对附属单位补助支出</w:t>
      </w:r>
      <w:r>
        <w:rPr>
          <w:rFonts w:hint="eastAsia" w:ascii="仿宋" w:hAnsi="仿宋" w:eastAsia="仿宋" w:cs="仿宋"/>
          <w:spacing w:val="4"/>
          <w:sz w:val="32"/>
          <w:szCs w:val="32"/>
        </w:rPr>
        <w:t>：指事业单位发生的用非财政预算资金对附属单位的补助支出。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“三公”经费</w:t>
      </w:r>
      <w:r>
        <w:rPr>
          <w:rFonts w:hint="eastAsia" w:ascii="仿宋" w:hAnsi="仿宋" w:eastAsia="仿宋" w:cs="仿宋"/>
          <w:spacing w:val="4"/>
          <w:sz w:val="32"/>
          <w:szCs w:val="32"/>
        </w:rPr>
        <w:t>：纳入同级财政预决算管理的“三公”经费是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等支出；公务接待费反映单位按规定开支的各类公务接待（含外宾接待）支出。</w:t>
      </w:r>
    </w:p>
    <w:p>
      <w:pPr>
        <w:spacing w:line="204" w:lineRule="auto"/>
        <w:jc w:val="left"/>
        <w:rPr>
          <w:rFonts w:ascii="仿宋" w:hAnsi="仿宋" w:eastAsia="仿宋" w:cs="仿宋"/>
          <w:spacing w:val="4"/>
          <w:sz w:val="32"/>
          <w:szCs w:val="32"/>
        </w:rPr>
      </w:pPr>
      <w:r>
        <w:rPr>
          <w:rFonts w:hint="eastAsia" w:ascii="仿宋" w:hAnsi="仿宋" w:eastAsia="仿宋" w:cs="仿宋"/>
          <w:b/>
          <w:bCs/>
          <w:spacing w:val="4"/>
          <w:sz w:val="32"/>
          <w:szCs w:val="32"/>
        </w:rPr>
        <w:t>机关运行经费</w:t>
      </w:r>
      <w:r>
        <w:rPr>
          <w:rFonts w:hint="eastAsia" w:ascii="仿宋" w:hAnsi="仿宋" w:eastAsia="仿宋" w:cs="仿宋"/>
          <w:spacing w:val="4"/>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204" w:lineRule="auto"/>
        <w:jc w:val="left"/>
      </w:pPr>
      <w:r>
        <w:rPr>
          <w:rFonts w:hint="eastAsia" w:ascii="仿宋" w:hAnsi="仿宋" w:eastAsia="仿宋" w:cs="仿宋"/>
          <w:b/>
          <w:bCs/>
          <w:spacing w:val="4"/>
          <w:sz w:val="32"/>
          <w:szCs w:val="32"/>
        </w:rPr>
        <w:t>其他需要解释的名词</w:t>
      </w:r>
      <w:r>
        <w:rPr>
          <w:rFonts w:hint="eastAsia" w:ascii="仿宋" w:hAnsi="仿宋" w:eastAsia="仿宋" w:cs="仿宋"/>
          <w:spacing w:val="4"/>
          <w:sz w:val="32"/>
          <w:szCs w:val="32"/>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0828"/>
    <w:multiLevelType w:val="singleLevel"/>
    <w:tmpl w:val="0CAE0828"/>
    <w:lvl w:ilvl="0" w:tentative="0">
      <w:start w:val="8"/>
      <w:numFmt w:val="chineseCounting"/>
      <w:suff w:val="nothing"/>
      <w:lvlText w:val="%1、"/>
      <w:lvlJc w:val="left"/>
      <w:rPr>
        <w:rFonts w:hint="eastAsia"/>
      </w:rPr>
    </w:lvl>
  </w:abstractNum>
  <w:abstractNum w:abstractNumId="1">
    <w:nsid w:val="32CD2E15"/>
    <w:multiLevelType w:val="singleLevel"/>
    <w:tmpl w:val="32CD2E15"/>
    <w:lvl w:ilvl="0" w:tentative="0">
      <w:start w:val="1"/>
      <w:numFmt w:val="chineseCounting"/>
      <w:suff w:val="nothing"/>
      <w:lvlText w:val="（%1）"/>
      <w:lvlJc w:val="left"/>
      <w:rPr>
        <w:rFonts w:hint="eastAsia"/>
      </w:rPr>
    </w:lvl>
  </w:abstractNum>
  <w:abstractNum w:abstractNumId="2">
    <w:nsid w:val="40B6F801"/>
    <w:multiLevelType w:val="singleLevel"/>
    <w:tmpl w:val="40B6F801"/>
    <w:lvl w:ilvl="0" w:tentative="0">
      <w:start w:val="4"/>
      <w:numFmt w:val="decimal"/>
      <w:lvlText w:val="%1."/>
      <w:lvlJc w:val="left"/>
      <w:pPr>
        <w:tabs>
          <w:tab w:val="left" w:pos="312"/>
        </w:tabs>
      </w:pPr>
    </w:lvl>
  </w:abstractNum>
  <w:abstractNum w:abstractNumId="3">
    <w:nsid w:val="6AF4BF66"/>
    <w:multiLevelType w:val="singleLevel"/>
    <w:tmpl w:val="6AF4BF66"/>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3F0B7D"/>
    <w:rsid w:val="000014A7"/>
    <w:rsid w:val="00052B5B"/>
    <w:rsid w:val="00774AFB"/>
    <w:rsid w:val="00E4217F"/>
    <w:rsid w:val="08367936"/>
    <w:rsid w:val="08AF7AFA"/>
    <w:rsid w:val="0E115DFD"/>
    <w:rsid w:val="11D27EAE"/>
    <w:rsid w:val="14412B5C"/>
    <w:rsid w:val="1F685F1C"/>
    <w:rsid w:val="20686DBF"/>
    <w:rsid w:val="20D97C1B"/>
    <w:rsid w:val="23553F43"/>
    <w:rsid w:val="299664C8"/>
    <w:rsid w:val="2C3E595B"/>
    <w:rsid w:val="32B86A9C"/>
    <w:rsid w:val="3F28132A"/>
    <w:rsid w:val="49221B6F"/>
    <w:rsid w:val="59564D7C"/>
    <w:rsid w:val="5EF52213"/>
    <w:rsid w:val="6544153D"/>
    <w:rsid w:val="657D5483"/>
    <w:rsid w:val="68CD37BD"/>
    <w:rsid w:val="6C940C35"/>
    <w:rsid w:val="73F92B3D"/>
    <w:rsid w:val="7E3F0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WPSOffice手动目录 1"/>
    <w:qFormat/>
    <w:uiPriority w:val="0"/>
    <w:rPr>
      <w:rFonts w:ascii="Times New Roman" w:hAnsi="Times New Roman" w:eastAsia="宋体" w:cs="Times New Roman"/>
      <w:lang w:val="en-US" w:eastAsia="zh-CN" w:bidi="ar-SA"/>
    </w:rPr>
  </w:style>
  <w:style w:type="paragraph" w:customStyle="1" w:styleId="9">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2856</Words>
  <Characters>709</Characters>
  <Lines>5</Lines>
  <Paragraphs>7</Paragraphs>
  <TotalTime>1</TotalTime>
  <ScaleCrop>false</ScaleCrop>
  <LinksUpToDate>false</LinksUpToDate>
  <CharactersWithSpaces>3558</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2021-10-28T10:29:00Z</dcterms:created>
  <dc:creator>Administrator</dc:creator>
  <cp:lastModifiedBy>work</cp:lastModifiedBy>
  <cp:lastPrinted>2021-10-28T11:45:00Z</cp:lastPrinted>
  <dcterms:modified xsi:type="dcterms:W3CDTF">2022-10-20T11:10:04Z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