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rPr>
      </w:pPr>
      <w:r>
        <w:rPr>
          <w:rFonts w:hint="eastAsia" w:ascii="黑体" w:eastAsia="黑体"/>
          <w:sz w:val="44"/>
          <w:szCs w:val="44"/>
        </w:rPr>
        <w:t>朔州市朔城区防震减灾中心</w:t>
      </w:r>
    </w:p>
    <w:p>
      <w:pPr>
        <w:jc w:val="center"/>
        <w:rPr>
          <w:rFonts w:ascii="黑体" w:eastAsia="黑体"/>
          <w:sz w:val="44"/>
          <w:szCs w:val="44"/>
        </w:rPr>
      </w:pPr>
      <w:r>
        <w:rPr>
          <w:rFonts w:hint="eastAsia" w:ascii="黑体" w:eastAsia="黑体"/>
          <w:sz w:val="44"/>
          <w:szCs w:val="44"/>
        </w:rPr>
        <w:t>单位202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1、扎实做好震情监视跟踪和会商研判。做好地震宏观观测跟踪落实；加强监测台网即二十里铺观测站的运行和维护管理。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2、做好辖区内《国家地震烈度速报与预警工程》（山西分项）实施相关工作；协调各方，尽快完成预警工程建设。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开展“5.12”、“7.28”、“平安中国”公益千城大行动；积极开展创建示范学校、示范社区活动，提升省级防震减灾示范社区的减灾能力；全面推进防震减灾“六进”活动；加强群测群防工作，建立涉震舆情监视与处置机制。</w:t>
      </w:r>
    </w:p>
    <w:p>
      <w:pPr>
        <w:ind w:firstLine="640" w:firstLineChars="200"/>
        <w:rPr>
          <w:rFonts w:ascii="仿宋" w:hAnsi="仿宋" w:eastAsia="仿宋" w:cs="仿宋"/>
          <w:sz w:val="32"/>
          <w:szCs w:val="32"/>
        </w:rPr>
      </w:pPr>
      <w:r>
        <w:rPr>
          <w:rFonts w:hint="eastAsia" w:ascii="仿宋" w:hAnsi="仿宋" w:eastAsia="仿宋" w:cs="仿宋"/>
          <w:sz w:val="32"/>
          <w:szCs w:val="32"/>
        </w:rPr>
        <w:t>4、加强震情、灾情调查</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本</w:t>
      </w:r>
      <w:r>
        <w:rPr>
          <w:rFonts w:hint="eastAsia" w:ascii="宋体" w:hAnsi="宋体" w:eastAsia="仿宋_GB2312" w:cs="Times New Roman"/>
          <w:sz w:val="32"/>
          <w:szCs w:val="32"/>
          <w:lang w:eastAsia="zh-CN"/>
        </w:rPr>
        <w:t>单位</w:t>
      </w:r>
      <w:r>
        <w:rPr>
          <w:rFonts w:hint="eastAsia" w:ascii="宋体" w:hAnsi="宋体" w:eastAsia="仿宋_GB2312" w:cs="Times New Roman"/>
          <w:sz w:val="32"/>
          <w:szCs w:val="32"/>
          <w:lang w:val="en-US" w:eastAsia="zh-CN"/>
        </w:rPr>
        <w:t>内</w:t>
      </w:r>
      <w:r>
        <w:rPr>
          <w:rFonts w:hint="eastAsia" w:ascii="宋体" w:hAnsi="宋体" w:eastAsia="仿宋_GB2312" w:cs="Times New Roman"/>
          <w:sz w:val="32"/>
          <w:szCs w:val="32"/>
          <w:lang w:eastAsia="zh-CN"/>
        </w:rPr>
        <w:t>设</w:t>
      </w:r>
      <w:r>
        <w:rPr>
          <w:rFonts w:hint="eastAsia" w:ascii="宋体" w:hAnsi="宋体" w:eastAsia="仿宋_GB2312" w:cs="Times New Roman"/>
          <w:sz w:val="32"/>
          <w:szCs w:val="32"/>
          <w:lang w:val="en-US" w:eastAsia="zh-CN"/>
        </w:rPr>
        <w:t>4个</w:t>
      </w:r>
      <w:r>
        <w:rPr>
          <w:rFonts w:hint="eastAsia" w:ascii="宋体" w:hAnsi="宋体" w:eastAsia="仿宋_GB2312" w:cs="Times New Roman"/>
          <w:sz w:val="32"/>
          <w:szCs w:val="32"/>
          <w:lang w:eastAsia="zh-CN"/>
        </w:rPr>
        <w:t>股室，</w:t>
      </w:r>
      <w:r>
        <w:rPr>
          <w:rFonts w:hint="eastAsia" w:ascii="宋体" w:hAnsi="宋体" w:eastAsia="仿宋_GB2312" w:cs="Times New Roman"/>
          <w:sz w:val="32"/>
          <w:szCs w:val="32"/>
          <w:lang w:val="en-US" w:eastAsia="zh-CN"/>
        </w:rPr>
        <w:t>有</w:t>
      </w:r>
      <w:r>
        <w:rPr>
          <w:rFonts w:hint="eastAsia" w:ascii="宋体" w:hAnsi="宋体" w:eastAsia="仿宋_GB2312" w:cs="Times New Roman"/>
          <w:sz w:val="32"/>
          <w:szCs w:val="32"/>
        </w:rPr>
        <w:t>办公室、信息股、监测预报股和震灾预防股。</w:t>
      </w:r>
      <w:r>
        <w:rPr>
          <w:rFonts w:hint="eastAsia" w:ascii="宋体" w:hAnsi="宋体" w:eastAsia="仿宋_GB2312" w:cs="Times New Roman"/>
          <w:sz w:val="32"/>
          <w:szCs w:val="32"/>
          <w:lang w:eastAsia="zh-CN"/>
        </w:rPr>
        <w:t>我单位为应急局下属二级单位，</w:t>
      </w:r>
      <w:r>
        <w:rPr>
          <w:rFonts w:hint="eastAsia" w:ascii="宋体" w:hAnsi="宋体" w:eastAsia="仿宋_GB2312" w:cs="Times New Roman"/>
          <w:sz w:val="32"/>
          <w:szCs w:val="32"/>
          <w:lang w:val="en-US" w:eastAsia="zh-CN"/>
        </w:rPr>
        <w:t>无下属单位。</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val="en-US" w:eastAsia="zh-CN"/>
        </w:rPr>
        <w:t>区防震减灾中心</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bookmarkStart w:id="22" w:name="_GoBack"/>
      <w:bookmarkEnd w:id="22"/>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70.42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70.42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12.21</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12.21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2021年新调入一人并增加临时工工资2.04万元。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68.38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2.04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70.42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12.21</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20.97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2021年新调入一人并增加临时工工资2.04万元。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12.21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2021年新调入一人并增加临时工工资2.04万元。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万元，主要用于以下方面：2240103机关服务支出</w:t>
      </w:r>
      <w:r>
        <w:rPr>
          <w:rFonts w:hint="eastAsia" w:ascii="宋体" w:hAnsi="宋体" w:eastAsia="仿宋_GB2312" w:cs="Times New Roman"/>
          <w:sz w:val="32"/>
          <w:szCs w:val="32"/>
          <w:lang w:val="en-US" w:eastAsia="zh-CN"/>
        </w:rPr>
        <w:t>68.38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97.1</w:t>
      </w:r>
      <w:r>
        <w:rPr>
          <w:rFonts w:hint="eastAsia" w:ascii="宋体" w:hAnsi="宋体" w:eastAsia="仿宋_GB2312" w:cs="Times New Roman"/>
          <w:sz w:val="32"/>
          <w:szCs w:val="32"/>
        </w:rPr>
        <w:t>%；2240503机关服务支出</w:t>
      </w:r>
      <w:r>
        <w:rPr>
          <w:rFonts w:hint="eastAsia" w:ascii="宋体" w:hAnsi="宋体" w:eastAsia="仿宋_GB2312" w:cs="Times New Roman"/>
          <w:sz w:val="32"/>
          <w:szCs w:val="32"/>
          <w:lang w:val="en-US" w:eastAsia="zh-CN"/>
        </w:rPr>
        <w:t>2.04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70.42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70.42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68.38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66.88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48.39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18.48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0.89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0.89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与同年预算相比无变动；</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压减三公经费</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0.89</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压减三公经费</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我单位无重点项目等绩效目标情况说明。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82D401C"/>
    <w:rsid w:val="0E115DFD"/>
    <w:rsid w:val="11D27EAE"/>
    <w:rsid w:val="20D97C1B"/>
    <w:rsid w:val="23553F43"/>
    <w:rsid w:val="299664C8"/>
    <w:rsid w:val="3F28132A"/>
    <w:rsid w:val="49221B6F"/>
    <w:rsid w:val="6544153D"/>
    <w:rsid w:val="68CD37BD"/>
    <w:rsid w:val="6C940C35"/>
    <w:rsid w:val="754F0424"/>
    <w:rsid w:val="7D7E1C7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2</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2022-10-20T10:44:16Z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