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朔州市朔城区人民医院2021年部门决算公开情况说明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kern w:val="0"/>
          <w:sz w:val="30"/>
          <w:szCs w:val="30"/>
        </w:rPr>
        <w:fldChar w:fldCharType="begin"/>
      </w:r>
      <w:r>
        <w:rPr>
          <w:rFonts w:hint="eastAsia" w:ascii="宋体" w:hAnsi="宋体" w:cs="宋体"/>
          <w:sz w:val="30"/>
          <w:szCs w:val="30"/>
        </w:rPr>
        <w:instrText xml:space="preserve">TOC \o "1-2" \h \u </w:instrText>
      </w:r>
      <w:r>
        <w:rPr>
          <w:rFonts w:hint="eastAsia" w:ascii="宋体" w:hAnsi="宋体" w:cs="宋体"/>
          <w:kern w:val="0"/>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rPr>
          <w:rFonts w:ascii="仿宋" w:hAnsi="仿宋" w:eastAsia="仿宋"/>
          <w:color w:val="000000"/>
          <w:sz w:val="30"/>
          <w:szCs w:val="30"/>
        </w:rPr>
      </w:pPr>
      <w:r>
        <w:rPr>
          <w:rFonts w:hint="eastAsia" w:ascii="仿宋" w:hAnsi="仿宋" w:eastAsia="仿宋"/>
          <w:color w:val="000000"/>
          <w:sz w:val="30"/>
          <w:szCs w:val="30"/>
        </w:rPr>
        <w:t>医疗服务：为人民身体健康提供医疗与护理保健服务。</w:t>
      </w:r>
    </w:p>
    <w:p>
      <w:pPr>
        <w:rPr>
          <w:rFonts w:ascii="仿宋" w:hAnsi="仿宋" w:eastAsia="仿宋"/>
          <w:color w:val="000000"/>
          <w:sz w:val="30"/>
          <w:szCs w:val="30"/>
        </w:rPr>
      </w:pPr>
      <w:r>
        <w:rPr>
          <w:rFonts w:hint="eastAsia" w:ascii="仿宋" w:hAnsi="仿宋" w:eastAsia="仿宋"/>
          <w:color w:val="000000"/>
          <w:sz w:val="30"/>
          <w:szCs w:val="30"/>
        </w:rPr>
        <w:t>（1）、提供高水平的专科、专家服务，开设住院治疗和门诊治疗服务。承担急危重症和疑难病症诊治任务，开展双向转诊。</w:t>
      </w:r>
    </w:p>
    <w:p>
      <w:pPr>
        <w:rPr>
          <w:rFonts w:ascii="仿宋" w:hAnsi="仿宋" w:eastAsia="仿宋"/>
          <w:color w:val="000000"/>
          <w:sz w:val="30"/>
          <w:szCs w:val="30"/>
        </w:rPr>
      </w:pPr>
      <w:r>
        <w:rPr>
          <w:rFonts w:hint="eastAsia" w:ascii="仿宋" w:hAnsi="仿宋" w:eastAsia="仿宋"/>
          <w:color w:val="000000"/>
          <w:sz w:val="30"/>
          <w:szCs w:val="30"/>
        </w:rPr>
        <w:t>（2）、承担灾害事故的紧急救援及院内急救任务。</w:t>
      </w:r>
    </w:p>
    <w:p>
      <w:pPr>
        <w:rPr>
          <w:rFonts w:ascii="仿宋" w:hAnsi="仿宋" w:eastAsia="仿宋"/>
          <w:color w:val="000000"/>
          <w:sz w:val="30"/>
          <w:szCs w:val="30"/>
        </w:rPr>
      </w:pPr>
      <w:r>
        <w:rPr>
          <w:rFonts w:hint="eastAsia" w:ascii="仿宋" w:hAnsi="仿宋" w:eastAsia="仿宋"/>
          <w:color w:val="000000"/>
          <w:sz w:val="30"/>
          <w:szCs w:val="30"/>
        </w:rPr>
        <w:t>（3）、指导乡镇卫生院、社区卫生服务中心的医疗护理、康复医疗服务。</w:t>
      </w:r>
    </w:p>
    <w:p>
      <w:pPr>
        <w:rPr>
          <w:rFonts w:ascii="仿宋" w:hAnsi="仿宋" w:eastAsia="仿宋"/>
          <w:color w:val="000000"/>
          <w:sz w:val="30"/>
          <w:szCs w:val="30"/>
        </w:rPr>
      </w:pPr>
      <w:r>
        <w:rPr>
          <w:rFonts w:hint="eastAsia" w:ascii="仿宋" w:hAnsi="仿宋" w:eastAsia="仿宋"/>
          <w:color w:val="000000"/>
          <w:sz w:val="30"/>
          <w:szCs w:val="30"/>
        </w:rPr>
        <w:t>教学科研：</w:t>
      </w:r>
    </w:p>
    <w:p>
      <w:pPr>
        <w:rPr>
          <w:rFonts w:ascii="仿宋" w:hAnsi="仿宋" w:eastAsia="仿宋"/>
          <w:color w:val="000000"/>
          <w:sz w:val="30"/>
          <w:szCs w:val="30"/>
        </w:rPr>
      </w:pPr>
      <w:r>
        <w:rPr>
          <w:rFonts w:hint="eastAsia" w:ascii="仿宋" w:hAnsi="仿宋" w:eastAsia="仿宋"/>
          <w:color w:val="000000"/>
          <w:sz w:val="30"/>
          <w:szCs w:val="30"/>
        </w:rPr>
        <w:t>（1）、承担大中专医学院校的临床教学和毕业实习、培养高级临床医学人才，并承担下级医疗机构技术骨干的临床专业进修任务。</w:t>
      </w:r>
    </w:p>
    <w:p>
      <w:pPr>
        <w:rPr>
          <w:rFonts w:ascii="仿宋" w:hAnsi="仿宋" w:eastAsia="仿宋"/>
          <w:color w:val="000000"/>
          <w:sz w:val="30"/>
          <w:szCs w:val="30"/>
        </w:rPr>
      </w:pPr>
      <w:r>
        <w:rPr>
          <w:rFonts w:hint="eastAsia" w:ascii="仿宋" w:hAnsi="仿宋" w:eastAsia="仿宋"/>
          <w:color w:val="000000"/>
          <w:sz w:val="30"/>
          <w:szCs w:val="30"/>
        </w:rPr>
        <w:t>（2）、承担省、市科研课题。</w:t>
      </w:r>
    </w:p>
    <w:p>
      <w:pPr>
        <w:rPr>
          <w:rFonts w:ascii="仿宋" w:hAnsi="仿宋" w:eastAsia="仿宋"/>
          <w:color w:val="000000"/>
          <w:sz w:val="30"/>
          <w:szCs w:val="30"/>
        </w:rPr>
      </w:pPr>
      <w:r>
        <w:rPr>
          <w:rFonts w:hint="eastAsia" w:ascii="仿宋" w:hAnsi="仿宋" w:eastAsia="仿宋"/>
          <w:color w:val="000000"/>
          <w:sz w:val="30"/>
          <w:szCs w:val="30"/>
        </w:rPr>
        <w:t>业务技术指导：</w:t>
      </w:r>
    </w:p>
    <w:p>
      <w:pPr>
        <w:rPr>
          <w:rFonts w:ascii="仿宋" w:hAnsi="仿宋" w:eastAsia="仿宋"/>
          <w:color w:val="000000"/>
          <w:sz w:val="30"/>
          <w:szCs w:val="30"/>
        </w:rPr>
      </w:pPr>
      <w:r>
        <w:rPr>
          <w:rFonts w:hint="eastAsia" w:ascii="仿宋" w:hAnsi="仿宋" w:eastAsia="仿宋"/>
          <w:color w:val="000000"/>
          <w:sz w:val="30"/>
          <w:szCs w:val="30"/>
        </w:rPr>
        <w:t>（1）、履行对下级医疗机构业务技术指导，并建立经常性的技术指导与合作关系，帮助开展新技术、新项目，解决疑难问题，培养卫生技术和管理人才。</w:t>
      </w:r>
    </w:p>
    <w:p>
      <w:pPr>
        <w:rPr>
          <w:rFonts w:ascii="仿宋" w:hAnsi="仿宋" w:eastAsia="仿宋"/>
          <w:color w:val="000000"/>
          <w:sz w:val="30"/>
          <w:szCs w:val="30"/>
        </w:rPr>
      </w:pPr>
      <w:r>
        <w:rPr>
          <w:rFonts w:hint="eastAsia" w:ascii="仿宋" w:hAnsi="仿宋" w:eastAsia="仿宋"/>
          <w:color w:val="000000"/>
          <w:sz w:val="30"/>
          <w:szCs w:val="30"/>
        </w:rPr>
        <w:t>（2）、完成卫生行政部门规定的卫生扶贫、援外工作。</w:t>
      </w:r>
    </w:p>
    <w:p>
      <w:pPr>
        <w:rPr>
          <w:rFonts w:ascii="仿宋" w:hAnsi="仿宋" w:eastAsia="仿宋"/>
          <w:color w:val="000000"/>
          <w:sz w:val="30"/>
          <w:szCs w:val="30"/>
        </w:rPr>
      </w:pPr>
      <w:r>
        <w:rPr>
          <w:rFonts w:hint="eastAsia" w:ascii="仿宋" w:hAnsi="仿宋" w:eastAsia="仿宋"/>
          <w:color w:val="000000"/>
          <w:sz w:val="30"/>
          <w:szCs w:val="30"/>
        </w:rPr>
        <w:t>预防保健：</w:t>
      </w:r>
    </w:p>
    <w:p>
      <w:pPr>
        <w:rPr>
          <w:rFonts w:ascii="仿宋" w:hAnsi="仿宋" w:eastAsia="仿宋"/>
          <w:color w:val="000000"/>
          <w:sz w:val="30"/>
          <w:szCs w:val="30"/>
        </w:rPr>
      </w:pPr>
      <w:r>
        <w:rPr>
          <w:rFonts w:hint="eastAsia" w:ascii="仿宋" w:hAnsi="仿宋" w:eastAsia="仿宋"/>
          <w:color w:val="000000"/>
          <w:sz w:val="30"/>
          <w:szCs w:val="30"/>
        </w:rPr>
        <w:t>（1）、开展健康教育。</w:t>
      </w:r>
    </w:p>
    <w:p>
      <w:pPr>
        <w:rPr>
          <w:rFonts w:ascii="仿宋" w:hAnsi="仿宋" w:eastAsia="仿宋"/>
          <w:color w:val="000000"/>
          <w:sz w:val="30"/>
          <w:szCs w:val="30"/>
        </w:rPr>
      </w:pPr>
      <w:r>
        <w:rPr>
          <w:rFonts w:hint="eastAsia" w:ascii="仿宋" w:hAnsi="仿宋" w:eastAsia="仿宋"/>
          <w:color w:val="000000"/>
          <w:sz w:val="30"/>
          <w:szCs w:val="30"/>
        </w:rPr>
        <w:t>（2）、承担预防保健、主要慢性非传染性疾病的临床流行病学调查和防治工作。</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750" w:firstLineChars="250"/>
        <w:rPr>
          <w:rFonts w:ascii="仿宋" w:hAnsi="仿宋" w:eastAsia="仿宋" w:cs="仿宋"/>
          <w:sz w:val="32"/>
          <w:szCs w:val="32"/>
        </w:rPr>
      </w:pPr>
      <w:r>
        <w:rPr>
          <w:rFonts w:hint="eastAsia" w:ascii="仿宋" w:hAnsi="仿宋" w:eastAsia="仿宋"/>
          <w:sz w:val="30"/>
          <w:szCs w:val="30"/>
        </w:rPr>
        <w:t>朔城区人民医院内设内科、外科、妇科、儿科等58个科室。我单位为二级单位，无下属单位。从预算单位构成看，朔城区人民医院部门决算包括：本级决算、所属卫健委朔城区人民医院决算。本次决算公开只含本单位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highlight w:val="none"/>
          <w:lang w:eastAsia="zh-CN"/>
        </w:rPr>
      </w:pPr>
      <w:bookmarkStart w:id="7" w:name="_Toc14383_WPSOffice_Level2"/>
      <w:r>
        <w:rPr>
          <w:rFonts w:hint="eastAsia" w:ascii="宋体" w:hAnsi="宋体" w:eastAsia="仿宋_GB2312" w:cs="Times New Roman"/>
          <w:sz w:val="32"/>
          <w:szCs w:val="32"/>
        </w:rPr>
        <w:t>2021 年 度 收 入 总 计45937.72万元 、 支 出 总 计45937.72万元。与 2020年相比,收入总计增加1816.72万元，支出总计增加1816.72万元。</w:t>
      </w:r>
      <w:r>
        <w:rPr>
          <w:rFonts w:hint="eastAsia" w:ascii="宋体" w:hAnsi="宋体" w:eastAsia="仿宋_GB2312" w:cs="Times New Roman"/>
          <w:sz w:val="32"/>
          <w:szCs w:val="32"/>
          <w:highlight w:val="none"/>
        </w:rPr>
        <w:t>主要原因是：建设pcr监测基地支出</w:t>
      </w:r>
      <w:r>
        <w:rPr>
          <w:rFonts w:hint="eastAsia" w:ascii="宋体" w:hAnsi="宋体" w:eastAsia="仿宋_GB2312" w:cs="Times New Roman"/>
          <w:sz w:val="32"/>
          <w:szCs w:val="32"/>
          <w:highlight w:val="none"/>
          <w:lang w:eastAsia="zh-CN"/>
        </w:rPr>
        <w:t>。</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rPr>
        <w:t>42546.26</w:t>
      </w:r>
      <w:r>
        <w:rPr>
          <w:rFonts w:hint="eastAsia" w:ascii="宋体" w:hAnsi="宋体" w:eastAsia="仿宋_GB2312" w:cs="Times New Roman"/>
          <w:sz w:val="32"/>
          <w:szCs w:val="32"/>
        </w:rPr>
        <w:t>万元，其中：财政拨款收入</w:t>
      </w:r>
      <w:r>
        <w:rPr>
          <w:rFonts w:hint="eastAsia" w:ascii="仿宋" w:hAnsi="仿宋" w:eastAsia="仿宋" w:cs="仿宋"/>
          <w:sz w:val="32"/>
          <w:szCs w:val="32"/>
        </w:rPr>
        <w:t>11588.63</w:t>
      </w:r>
      <w:r>
        <w:rPr>
          <w:rFonts w:hint="eastAsia" w:ascii="宋体" w:hAnsi="宋体" w:eastAsia="仿宋_GB2312" w:cs="Times New Roman"/>
          <w:sz w:val="32"/>
          <w:szCs w:val="32"/>
        </w:rPr>
        <w:t>万元;上级补助收入0万元；事业收入 30957.64万元；经营收入0万元；附属单位上缴收入 0万元；其他收入0万元。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rPr>
        <w:t>42608</w:t>
      </w:r>
      <w:r>
        <w:rPr>
          <w:rFonts w:hint="eastAsia" w:ascii="宋体" w:hAnsi="宋体" w:eastAsia="仿宋_GB2312" w:cs="Times New Roman"/>
          <w:sz w:val="32"/>
          <w:szCs w:val="32"/>
        </w:rPr>
        <w:t>万元 ，其中：基本支出</w:t>
      </w:r>
      <w:r>
        <w:rPr>
          <w:rFonts w:hint="eastAsia" w:ascii="仿宋" w:hAnsi="仿宋" w:eastAsia="仿宋" w:cs="仿宋"/>
          <w:sz w:val="32"/>
          <w:szCs w:val="32"/>
        </w:rPr>
        <w:t>33054.41</w:t>
      </w:r>
      <w:r>
        <w:rPr>
          <w:rFonts w:hint="eastAsia" w:ascii="宋体" w:hAnsi="宋体" w:eastAsia="仿宋_GB2312" w:cs="Times New Roman"/>
          <w:sz w:val="32"/>
          <w:szCs w:val="32"/>
        </w:rPr>
        <w:t>万元 ；项目支出</w:t>
      </w:r>
      <w:r>
        <w:rPr>
          <w:rFonts w:hint="eastAsia" w:ascii="仿宋" w:hAnsi="仿宋" w:eastAsia="仿宋" w:cs="仿宋"/>
          <w:sz w:val="32"/>
          <w:szCs w:val="32"/>
        </w:rPr>
        <w:t>9553.59</w:t>
      </w:r>
      <w:r>
        <w:rPr>
          <w:rFonts w:hint="eastAsia" w:ascii="宋体" w:hAnsi="宋体" w:eastAsia="仿宋_GB2312" w:cs="Times New Roman"/>
          <w:sz w:val="32"/>
          <w:szCs w:val="32"/>
        </w:rPr>
        <w:t>万元；上缴上级支出0万元，经营支出0万元；对附属单位补助支出0万元。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highlight w:val="none"/>
        </w:rPr>
      </w:pPr>
      <w:bookmarkStart w:id="12" w:name="_Toc2892_WPSOffice_Level2"/>
      <w:bookmarkStart w:id="13" w:name="_Toc23250_WPSOffice_Level2"/>
      <w:r>
        <w:rPr>
          <w:rFonts w:hint="eastAsia" w:ascii="宋体" w:hAnsi="宋体" w:eastAsia="仿宋_GB2312" w:cs="Times New Roman"/>
          <w:sz w:val="32"/>
          <w:szCs w:val="32"/>
          <w:highlight w:val="none"/>
        </w:rPr>
        <w:t>2021 年度财政拨款收入总计</w:t>
      </w:r>
      <w:r>
        <w:rPr>
          <w:rFonts w:hint="eastAsia" w:ascii="仿宋" w:hAnsi="仿宋" w:eastAsia="仿宋" w:cs="仿宋"/>
          <w:sz w:val="32"/>
          <w:szCs w:val="32"/>
          <w:highlight w:val="none"/>
        </w:rPr>
        <w:t>13902.70</w:t>
      </w:r>
      <w:r>
        <w:rPr>
          <w:rFonts w:hint="eastAsia" w:ascii="宋体" w:hAnsi="宋体" w:eastAsia="仿宋_GB2312" w:cs="Times New Roman"/>
          <w:sz w:val="32"/>
          <w:szCs w:val="32"/>
          <w:highlight w:val="none"/>
        </w:rPr>
        <w:t>万元，支出总计13902.70万元。与 2020 年相比，财政拨款收入总计增加</w:t>
      </w:r>
      <w:r>
        <w:rPr>
          <w:rFonts w:hint="eastAsia" w:ascii="仿宋" w:hAnsi="仿宋" w:eastAsia="仿宋" w:cs="仿宋"/>
          <w:spacing w:val="2"/>
          <w:sz w:val="32"/>
          <w:szCs w:val="32"/>
          <w:highlight w:val="none"/>
        </w:rPr>
        <w:t>849.58</w:t>
      </w:r>
      <w:r>
        <w:rPr>
          <w:rFonts w:hint="eastAsia" w:ascii="宋体" w:hAnsi="宋体" w:eastAsia="仿宋_GB2312" w:cs="Times New Roman"/>
          <w:sz w:val="32"/>
          <w:szCs w:val="32"/>
          <w:highlight w:val="none"/>
        </w:rPr>
        <w:t>万元，增长6.5%。主要原因是：</w:t>
      </w:r>
      <w:r>
        <w:rPr>
          <w:rFonts w:hint="eastAsia" w:ascii="宋体" w:hAnsi="宋体" w:eastAsia="仿宋_GB2312" w:cs="Times New Roman"/>
          <w:sz w:val="32"/>
          <w:szCs w:val="32"/>
          <w:highlight w:val="none"/>
        </w:rPr>
        <w:t>建设pcr监测基地支出</w:t>
      </w:r>
      <w:r>
        <w:rPr>
          <w:rFonts w:hint="eastAsia" w:ascii="宋体" w:hAnsi="宋体" w:eastAsia="仿宋_GB2312" w:cs="Times New Roman"/>
          <w:sz w:val="32"/>
          <w:szCs w:val="32"/>
          <w:highlight w:val="none"/>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hint="eastAsia" w:ascii="宋体" w:hAnsi="宋体" w:eastAsia="仿宋_GB2312" w:cs="Times New Roman"/>
          <w:sz w:val="32"/>
          <w:szCs w:val="32"/>
          <w:highlight w:val="none"/>
          <w:lang w:eastAsia="zh-CN"/>
        </w:rPr>
      </w:pPr>
      <w:r>
        <w:rPr>
          <w:rFonts w:hint="eastAsia" w:ascii="宋体" w:hAnsi="宋体" w:eastAsia="仿宋_GB2312" w:cs="Times New Roman"/>
          <w:sz w:val="32"/>
          <w:szCs w:val="32"/>
        </w:rPr>
        <w:t>2021 年度财政拨款支出</w:t>
      </w:r>
      <w:r>
        <w:rPr>
          <w:rFonts w:hint="eastAsia" w:ascii="仿宋" w:hAnsi="仿宋" w:eastAsia="仿宋" w:cs="仿宋"/>
          <w:sz w:val="32"/>
          <w:szCs w:val="32"/>
        </w:rPr>
        <w:t>8912.27</w:t>
      </w:r>
      <w:r>
        <w:rPr>
          <w:rFonts w:hint="eastAsia" w:ascii="宋体" w:hAnsi="宋体" w:eastAsia="仿宋_GB2312" w:cs="Times New Roman"/>
          <w:sz w:val="32"/>
          <w:szCs w:val="32"/>
        </w:rPr>
        <w:t>万元，与 2020 年相比，财政拨款支出减少</w:t>
      </w:r>
      <w:r>
        <w:rPr>
          <w:rFonts w:hint="eastAsia" w:ascii="仿宋" w:hAnsi="仿宋" w:eastAsia="仿宋" w:cs="仿宋"/>
          <w:spacing w:val="2"/>
          <w:sz w:val="32"/>
          <w:szCs w:val="32"/>
        </w:rPr>
        <w:t>538.70</w:t>
      </w:r>
      <w:r>
        <w:rPr>
          <w:rFonts w:hint="eastAsia" w:ascii="宋体" w:hAnsi="宋体" w:eastAsia="仿宋_GB2312" w:cs="Times New Roman"/>
          <w:sz w:val="32"/>
          <w:szCs w:val="32"/>
        </w:rPr>
        <w:t>万元。</w:t>
      </w:r>
      <w:r>
        <w:rPr>
          <w:rFonts w:hint="eastAsia" w:ascii="宋体" w:hAnsi="宋体" w:eastAsia="仿宋_GB2312" w:cs="Times New Roman"/>
          <w:sz w:val="32"/>
          <w:szCs w:val="32"/>
          <w:highlight w:val="none"/>
        </w:rPr>
        <w:t>主要原因是：</w:t>
      </w:r>
      <w:r>
        <w:rPr>
          <w:rFonts w:hint="eastAsia" w:ascii="宋体" w:hAnsi="宋体" w:eastAsia="仿宋_GB2312" w:cs="Times New Roman"/>
          <w:sz w:val="32"/>
          <w:szCs w:val="32"/>
          <w:highlight w:val="none"/>
          <w:lang w:eastAsia="zh-CN"/>
        </w:rPr>
        <w:t>疫情防控资金减少。</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highlight w:val="none"/>
        </w:rPr>
      </w:pPr>
      <w:bookmarkStart w:id="14" w:name="_Toc1066_WPSOffice_Level2"/>
      <w:bookmarkStart w:id="15" w:name="_Toc27424_WPSOffice_Level2"/>
      <w:r>
        <w:rPr>
          <w:rFonts w:hint="eastAsia" w:ascii="宋体" w:hAnsi="宋体" w:eastAsia="仿宋_GB2312" w:cs="Times New Roman"/>
          <w:sz w:val="32"/>
          <w:szCs w:val="32"/>
          <w:highlight w:val="none"/>
        </w:rPr>
        <w:t>2021 年度财政拨款支出</w:t>
      </w:r>
      <w:r>
        <w:rPr>
          <w:rFonts w:hint="eastAsia" w:ascii="仿宋" w:hAnsi="仿宋" w:eastAsia="仿宋" w:cs="仿宋"/>
          <w:sz w:val="32"/>
          <w:szCs w:val="32"/>
          <w:highlight w:val="none"/>
        </w:rPr>
        <w:t>8912.27</w:t>
      </w:r>
      <w:r>
        <w:rPr>
          <w:rFonts w:hint="eastAsia" w:ascii="宋体" w:hAnsi="宋体" w:eastAsia="仿宋_GB2312" w:cs="Times New Roman"/>
          <w:sz w:val="32"/>
          <w:szCs w:val="32"/>
          <w:highlight w:val="none"/>
        </w:rPr>
        <w:t>万元，主要用于以下方面：</w:t>
      </w:r>
      <w:r>
        <w:rPr>
          <w:rFonts w:hint="eastAsia" w:ascii="宋体" w:hAnsi="宋体" w:eastAsia="仿宋_GB2312" w:cs="Times New Roman"/>
          <w:sz w:val="32"/>
          <w:szCs w:val="32"/>
          <w:highlight w:val="none"/>
          <w:lang w:val="en-US" w:eastAsia="zh-CN"/>
        </w:rPr>
        <w:t>2069999其他科学技术支出</w:t>
      </w:r>
      <w:r>
        <w:rPr>
          <w:rFonts w:hint="eastAsia" w:ascii="宋体" w:hAnsi="宋体" w:eastAsia="仿宋_GB2312" w:cs="Times New Roman"/>
          <w:sz w:val="32"/>
          <w:szCs w:val="32"/>
          <w:highlight w:val="none"/>
        </w:rPr>
        <w:t>0.4万元，</w:t>
      </w:r>
      <w:r>
        <w:rPr>
          <w:rFonts w:hint="eastAsia" w:ascii="宋体" w:hAnsi="宋体" w:eastAsia="仿宋_GB2312" w:cs="Times New Roman"/>
          <w:sz w:val="32"/>
          <w:szCs w:val="32"/>
          <w:highlight w:val="none"/>
          <w:lang w:eastAsia="zh-CN"/>
        </w:rPr>
        <w:t>占</w:t>
      </w:r>
      <w:r>
        <w:rPr>
          <w:rFonts w:hint="eastAsia" w:ascii="宋体" w:hAnsi="宋体" w:eastAsia="仿宋_GB2312" w:cs="Times New Roman"/>
          <w:sz w:val="32"/>
          <w:szCs w:val="32"/>
          <w:highlight w:val="none"/>
          <w:lang w:val="en-US" w:eastAsia="zh-CN"/>
        </w:rPr>
        <w:t>0.004%；2080801死亡抚恤支出37.61万元，占0.42%；2100201综合医院支出6714.79万元，占75.34%；2100408基本公共卫生服务支出7万元，占0.08%；2100409重大公共卫生服务支出33.82万元，占0.38%；2100410突发公共卫生事件应急处理300万元，占3.37%；2100499其他公共卫生支出1813.65万元，占20.35%；2100601中医（民族医）药专项5万元，占0.06%。</w:t>
      </w:r>
      <w:bookmarkStart w:id="22" w:name="_GoBack"/>
      <w:bookmarkEnd w:id="22"/>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2021年度一般公共预算财政拨款支出当年调整预算数8912万元，支出决算为</w:t>
      </w:r>
      <w:r>
        <w:rPr>
          <w:rFonts w:hint="eastAsia" w:ascii="仿宋" w:hAnsi="仿宋" w:eastAsia="仿宋" w:cs="仿宋"/>
          <w:sz w:val="32"/>
          <w:szCs w:val="32"/>
        </w:rPr>
        <w:t>8912</w:t>
      </w:r>
      <w:r>
        <w:rPr>
          <w:rFonts w:hint="eastAsia" w:ascii="宋体" w:hAnsi="宋体" w:eastAsia="仿宋_GB2312" w:cs="Times New Roman"/>
          <w:sz w:val="32"/>
          <w:szCs w:val="32"/>
        </w:rPr>
        <w:t>万元，完成当年调整预算的100%。</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highlight w:val="none"/>
        </w:rPr>
      </w:pPr>
      <w:bookmarkStart w:id="16" w:name="_Toc28951_WPSOffice_Level2"/>
      <w:bookmarkStart w:id="17" w:name="_Toc21993_WPSOffice_Level2"/>
      <w:r>
        <w:rPr>
          <w:rFonts w:hint="eastAsia" w:ascii="宋体" w:hAnsi="宋体" w:eastAsia="仿宋_GB2312" w:cs="Times New Roman"/>
          <w:sz w:val="32"/>
          <w:szCs w:val="32"/>
          <w:highlight w:val="none"/>
        </w:rPr>
        <w:t>2021 年度财政拨款基本支出4349.11万元，主要包括工资福利支出</w:t>
      </w:r>
      <w:r>
        <w:rPr>
          <w:rFonts w:hint="eastAsia" w:ascii="仿宋" w:hAnsi="仿宋" w:eastAsia="仿宋" w:cs="仿宋"/>
          <w:spacing w:val="4"/>
          <w:sz w:val="32"/>
          <w:szCs w:val="32"/>
          <w:highlight w:val="none"/>
        </w:rPr>
        <w:t>4268.58</w:t>
      </w:r>
      <w:r>
        <w:rPr>
          <w:rFonts w:hint="eastAsia" w:ascii="宋体" w:hAnsi="宋体" w:eastAsia="仿宋_GB2312" w:cs="Times New Roman"/>
          <w:sz w:val="32"/>
          <w:szCs w:val="32"/>
          <w:highlight w:val="none"/>
        </w:rPr>
        <w:t>万元和对个人和家庭的补助</w:t>
      </w:r>
      <w:r>
        <w:rPr>
          <w:rFonts w:hint="eastAsia" w:ascii="仿宋" w:hAnsi="仿宋" w:eastAsia="仿宋" w:cs="仿宋"/>
          <w:spacing w:val="4"/>
          <w:sz w:val="32"/>
          <w:szCs w:val="32"/>
          <w:highlight w:val="none"/>
        </w:rPr>
        <w:t>80.54</w:t>
      </w:r>
      <w:r>
        <w:rPr>
          <w:rFonts w:hint="eastAsia" w:ascii="宋体" w:hAnsi="宋体" w:eastAsia="仿宋_GB2312" w:cs="Times New Roman"/>
          <w:sz w:val="32"/>
          <w:szCs w:val="32"/>
          <w:highlight w:val="none"/>
        </w:rPr>
        <w:t>万元；公用经费</w:t>
      </w:r>
      <w:r>
        <w:rPr>
          <w:rFonts w:hint="eastAsia" w:ascii="仿宋" w:hAnsi="仿宋" w:eastAsia="仿宋" w:cs="仿宋"/>
          <w:spacing w:val="4"/>
          <w:sz w:val="32"/>
          <w:szCs w:val="32"/>
          <w:highlight w:val="none"/>
        </w:rPr>
        <w:t>0</w:t>
      </w:r>
      <w:r>
        <w:rPr>
          <w:rFonts w:hint="eastAsia" w:ascii="宋体" w:hAnsi="宋体" w:eastAsia="仿宋_GB2312" w:cs="Times New Roman"/>
          <w:sz w:val="32"/>
          <w:szCs w:val="32"/>
          <w:highlight w:val="none"/>
        </w:rPr>
        <w:t xml:space="preserve">万元，主要包括商品和服务支出 </w:t>
      </w:r>
      <w:r>
        <w:rPr>
          <w:rFonts w:hint="eastAsia" w:ascii="仿宋" w:hAnsi="仿宋" w:eastAsia="仿宋" w:cs="仿宋"/>
          <w:spacing w:val="4"/>
          <w:sz w:val="32"/>
          <w:szCs w:val="32"/>
          <w:highlight w:val="none"/>
        </w:rPr>
        <w:t>0</w:t>
      </w:r>
      <w:r>
        <w:rPr>
          <w:rFonts w:hint="eastAsia" w:ascii="宋体" w:hAnsi="宋体" w:eastAsia="仿宋_GB2312" w:cs="Times New Roman"/>
          <w:sz w:val="32"/>
          <w:szCs w:val="32"/>
          <w:highlight w:val="none"/>
        </w:rPr>
        <w:t>万元和资本性支出</w:t>
      </w:r>
      <w:r>
        <w:rPr>
          <w:rFonts w:hint="eastAsia" w:ascii="仿宋" w:hAnsi="仿宋" w:eastAsia="仿宋" w:cs="仿宋"/>
          <w:spacing w:val="4"/>
          <w:sz w:val="32"/>
          <w:szCs w:val="32"/>
          <w:highlight w:val="none"/>
        </w:rPr>
        <w:t>0</w:t>
      </w:r>
      <w:r>
        <w:rPr>
          <w:rFonts w:hint="eastAsia" w:ascii="宋体" w:hAnsi="宋体" w:eastAsia="仿宋_GB2312" w:cs="Times New Roman"/>
          <w:sz w:val="32"/>
          <w:szCs w:val="32"/>
          <w:highlight w:val="none"/>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我单位无三公经费。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2021年政府性基金预算财政拨款本年收入4975.43万元，本年支出4990.43万元。具体支出情况如下:</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highlight w:val="none"/>
        </w:rPr>
        <w:t>其他支出科目（类）其他政府性基金及对应专项债券收入安排的科目(款)其他地方自行试点项目收益专项债券收入安排的支出科目(项)财政拨款支出4975.43万元，主要是用于门诊住院楼改扩建工程；抗疫特别国债安排的支出（类）</w:t>
      </w:r>
    </w:p>
    <w:p>
      <w:pPr>
        <w:pStyle w:val="2"/>
        <w:ind w:firstLine="0"/>
        <w:rPr>
          <w:rFonts w:ascii="仿宋" w:hAnsi="仿宋" w:eastAsia="仿宋"/>
          <w:sz w:val="32"/>
          <w:szCs w:val="32"/>
          <w:highlight w:val="none"/>
        </w:rPr>
      </w:pPr>
      <w:r>
        <w:rPr>
          <w:rFonts w:hint="eastAsia" w:ascii="仿宋" w:hAnsi="仿宋" w:eastAsia="仿宋"/>
          <w:sz w:val="32"/>
          <w:szCs w:val="32"/>
          <w:highlight w:val="none"/>
        </w:rPr>
        <w:t>抗疫相关支出（款）其他抗疫相关支出15万元。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无其他重要事项的情况说明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截至2021年12月31日，本部门共有车辆9辆，其中，应急保障用车1辆、特种专业技术用车4辆、其他用车4辆， 单价50万元（含）以上的通用设备23台（套）， 单价100万元（含）以上专用设备31台（套）。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rPr>
          <w:rFonts w:ascii="宋体" w:hAnsi="宋体" w:eastAsia="仿宋_GB2312" w:cs="Times New Roman"/>
          <w:sz w:val="32"/>
          <w:szCs w:val="32"/>
        </w:rPr>
      </w:pPr>
      <w:r>
        <w:rPr>
          <w:rFonts w:hint="eastAsia" w:ascii="宋体" w:hAnsi="宋体" w:eastAsia="仿宋_GB2312" w:cs="Times New Roman"/>
          <w:sz w:val="32"/>
          <w:szCs w:val="32"/>
        </w:rPr>
        <w:t>2021年度单位实行绩效目标管理的项目12个，涉及一般公共预算当年拨款 7239.52万元。其中大学生实习实训生活补助0.4万元，抚恤费拨款37.61万元，广电服务公司人员工资拨款27.60万元，聘请专家开展技术帮扶拨款6万元，救治流浪无主病人拨款50万元，医疗服务价格和成本监测补助1万元，流感监测补助2.5万元，结核病防治经费3.68万元，艾滋病防控经费21.64万元，疫情防控补助300万元，核酸检测基地建设资金1813.64万元，门诊住院楼改扩建工程款4975.43万元。以上项目指标当年全部完成。</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开展绩效管理目标工作增强了预算单位的绩效意识和责任意识，取得良好的社会效应，提高了财政管理水平。</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27B8D"/>
    <w:rsid w:val="00052B5B"/>
    <w:rsid w:val="00097C93"/>
    <w:rsid w:val="00161768"/>
    <w:rsid w:val="001F5D9C"/>
    <w:rsid w:val="00203040"/>
    <w:rsid w:val="00241C8A"/>
    <w:rsid w:val="00253F1A"/>
    <w:rsid w:val="00263EED"/>
    <w:rsid w:val="00271672"/>
    <w:rsid w:val="00316A93"/>
    <w:rsid w:val="00386F79"/>
    <w:rsid w:val="003A5681"/>
    <w:rsid w:val="004870C3"/>
    <w:rsid w:val="004D7BDD"/>
    <w:rsid w:val="004E5691"/>
    <w:rsid w:val="00506926"/>
    <w:rsid w:val="00530C50"/>
    <w:rsid w:val="00581C4A"/>
    <w:rsid w:val="005B7727"/>
    <w:rsid w:val="005E3519"/>
    <w:rsid w:val="006873CF"/>
    <w:rsid w:val="006A6382"/>
    <w:rsid w:val="006B0384"/>
    <w:rsid w:val="006F42F7"/>
    <w:rsid w:val="00750F99"/>
    <w:rsid w:val="00766D98"/>
    <w:rsid w:val="00774AFB"/>
    <w:rsid w:val="007961A1"/>
    <w:rsid w:val="007A7660"/>
    <w:rsid w:val="00806970"/>
    <w:rsid w:val="00817D92"/>
    <w:rsid w:val="0086749C"/>
    <w:rsid w:val="008A0C6F"/>
    <w:rsid w:val="008D2318"/>
    <w:rsid w:val="0097301E"/>
    <w:rsid w:val="009A0FC3"/>
    <w:rsid w:val="009E4D63"/>
    <w:rsid w:val="00A21FCF"/>
    <w:rsid w:val="00A26F76"/>
    <w:rsid w:val="00A36EA8"/>
    <w:rsid w:val="00A52104"/>
    <w:rsid w:val="00AA76D0"/>
    <w:rsid w:val="00AE6847"/>
    <w:rsid w:val="00B119DC"/>
    <w:rsid w:val="00B270B2"/>
    <w:rsid w:val="00B30CEC"/>
    <w:rsid w:val="00B561F5"/>
    <w:rsid w:val="00B6213E"/>
    <w:rsid w:val="00B62A83"/>
    <w:rsid w:val="00BA367C"/>
    <w:rsid w:val="00BA446C"/>
    <w:rsid w:val="00CA76DF"/>
    <w:rsid w:val="00CC6783"/>
    <w:rsid w:val="00CE63DE"/>
    <w:rsid w:val="00D005AF"/>
    <w:rsid w:val="00D26D1D"/>
    <w:rsid w:val="00D810F9"/>
    <w:rsid w:val="00D8565F"/>
    <w:rsid w:val="00DB48F9"/>
    <w:rsid w:val="00E023DA"/>
    <w:rsid w:val="00E250FD"/>
    <w:rsid w:val="00E4217F"/>
    <w:rsid w:val="00EA13BE"/>
    <w:rsid w:val="00ED2F09"/>
    <w:rsid w:val="00ED6AE5"/>
    <w:rsid w:val="00F53119"/>
    <w:rsid w:val="00F62A1D"/>
    <w:rsid w:val="00F66A97"/>
    <w:rsid w:val="00FD24A7"/>
    <w:rsid w:val="0E115DFD"/>
    <w:rsid w:val="11D27EAE"/>
    <w:rsid w:val="1E365603"/>
    <w:rsid w:val="20D97C1B"/>
    <w:rsid w:val="215561DA"/>
    <w:rsid w:val="23553F43"/>
    <w:rsid w:val="27396469"/>
    <w:rsid w:val="299664C8"/>
    <w:rsid w:val="372A162D"/>
    <w:rsid w:val="3D0C3281"/>
    <w:rsid w:val="3F28132A"/>
    <w:rsid w:val="41A7698E"/>
    <w:rsid w:val="49221B6F"/>
    <w:rsid w:val="4A9A54D7"/>
    <w:rsid w:val="4D885E8A"/>
    <w:rsid w:val="59727598"/>
    <w:rsid w:val="5C6F5417"/>
    <w:rsid w:val="5DBC6DEF"/>
    <w:rsid w:val="6544153D"/>
    <w:rsid w:val="68CD37BD"/>
    <w:rsid w:val="6C940C35"/>
    <w:rsid w:val="7E3F0B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kern w:val="2"/>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kern w:val="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595</Words>
  <Characters>3394</Characters>
  <Lines>28</Lines>
  <Paragraphs>7</Paragraphs>
  <TotalTime>6</TotalTime>
  <ScaleCrop>false</ScaleCrop>
  <LinksUpToDate>false</LinksUpToDate>
  <CharactersWithSpaces>3982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2022-10-21T03:03:14Z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