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朔州市朔城区农业农村局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800" w:lineRule="exact"/>
        <w:ind w:firstLine="600" w:firstLineChars="200"/>
        <w:rPr>
          <w:rFonts w:hint="default" w:ascii="仿宋" w:hAnsi="仿宋" w:eastAsia="仿宋" w:cs="仿宋"/>
          <w:b w:val="0"/>
          <w:bCs/>
          <w:sz w:val="30"/>
          <w:szCs w:val="30"/>
          <w:lang w:val="en-US" w:eastAsia="zh-CN"/>
        </w:rPr>
      </w:pPr>
      <w:r>
        <w:rPr>
          <w:rFonts w:hint="eastAsia" w:ascii="仿宋" w:hAnsi="仿宋" w:eastAsia="仿宋" w:cs="仿宋"/>
          <w:b w:val="0"/>
          <w:bCs/>
          <w:color w:val="000000"/>
          <w:kern w:val="0"/>
          <w:sz w:val="30"/>
          <w:szCs w:val="30"/>
        </w:rPr>
        <w:t>1、</w:t>
      </w:r>
      <w:r>
        <w:rPr>
          <w:rFonts w:hint="eastAsia" w:ascii="仿宋" w:hAnsi="仿宋" w:eastAsia="仿宋" w:cs="仿宋"/>
          <w:b w:val="0"/>
          <w:bCs/>
          <w:color w:val="000000"/>
          <w:kern w:val="0"/>
          <w:sz w:val="30"/>
          <w:szCs w:val="30"/>
          <w:lang w:val="en-US" w:eastAsia="zh-CN"/>
        </w:rPr>
        <w:t>研究和组织实施全区“三农”工作的中长期发展规划重大政策。</w:t>
      </w:r>
      <w:r>
        <w:rPr>
          <w:rFonts w:hint="eastAsia" w:ascii="仿宋" w:hAnsi="仿宋" w:eastAsia="仿宋" w:cs="仿宋"/>
          <w:b w:val="0"/>
          <w:bCs/>
          <w:color w:val="000000"/>
          <w:kern w:val="0"/>
          <w:sz w:val="30"/>
          <w:szCs w:val="30"/>
        </w:rPr>
        <w:t>2、</w:t>
      </w:r>
      <w:r>
        <w:rPr>
          <w:rFonts w:hint="eastAsia" w:ascii="仿宋" w:hAnsi="仿宋" w:eastAsia="仿宋" w:cs="仿宋"/>
          <w:b w:val="0"/>
          <w:bCs/>
          <w:color w:val="000000"/>
          <w:kern w:val="0"/>
          <w:sz w:val="30"/>
          <w:szCs w:val="30"/>
          <w:lang w:val="en-US" w:eastAsia="zh-CN"/>
        </w:rPr>
        <w:t>统筹推动发展农村社会事业、农村公共服务、农村文化、农村基础设施和乡村治理。3、提出深化农村经济体制改革和现固完善农村基本经济制度的政策建议。负责农民承包地、农村宅基地改革和管理有关工作。4</w:t>
      </w:r>
      <w:r>
        <w:rPr>
          <w:rFonts w:hint="eastAsia" w:ascii="仿宋" w:hAnsi="仿宋" w:eastAsia="仿宋" w:cs="仿宋"/>
          <w:b w:val="0"/>
          <w:bCs/>
          <w:color w:val="000000"/>
          <w:kern w:val="0"/>
          <w:sz w:val="30"/>
          <w:szCs w:val="30"/>
        </w:rPr>
        <w:t>、</w:t>
      </w:r>
      <w:r>
        <w:rPr>
          <w:rFonts w:hint="eastAsia" w:ascii="仿宋" w:hAnsi="仿宋" w:eastAsia="仿宋" w:cs="仿宋"/>
          <w:b w:val="0"/>
          <w:bCs/>
          <w:color w:val="000000"/>
          <w:kern w:val="0"/>
          <w:sz w:val="30"/>
          <w:szCs w:val="30"/>
          <w:lang w:val="en-US" w:eastAsia="zh-CN"/>
        </w:rPr>
        <w:t>指导乡村特色产业、农产品加工业、休闲农业、城郊农业以及新产业新业态发展工作。5、承担全区种植业、畜牧业、渔业、农垦、农业机械化等农业各产业的监督管理。6、负责农产品质量安全监督管理、组织开展全区农产品质量安全监测、追溯风险评估。7、组织农业资源区划工作，指导全区农用地、渔业水域以及农业生物物种资源的保护与管理。8、负责有关农业生产资料和农业投入品的监督管理。9、承担全区农业防灾减灾、农作物重大病虫害防治工作。</w:t>
      </w:r>
    </w:p>
    <w:p>
      <w:pPr>
        <w:keepNext w:val="0"/>
        <w:keepLines w:val="0"/>
        <w:pageBreakBefore w:val="0"/>
        <w:widowControl w:val="0"/>
        <w:kinsoku/>
        <w:wordWrap/>
        <w:overflowPunct/>
        <w:topLinePunct w:val="0"/>
        <w:autoSpaceDE/>
        <w:autoSpaceDN/>
        <w:bidi w:val="0"/>
        <w:adjustRightInd/>
        <w:snapToGrid/>
        <w:spacing w:line="800" w:lineRule="exact"/>
        <w:ind w:firstLine="600" w:firstLineChars="200"/>
        <w:textAlignment w:val="auto"/>
        <w:rPr>
          <w:rFonts w:hint="eastAsia" w:ascii="仿宋" w:hAnsi="仿宋" w:eastAsia="仿宋" w:cs="仿宋"/>
          <w:b w:val="0"/>
          <w:bCs/>
          <w:color w:val="auto"/>
          <w:sz w:val="30"/>
          <w:szCs w:val="30"/>
          <w:highlight w:val="none"/>
          <w:lang w:eastAsia="zh-CN"/>
        </w:rPr>
      </w:pPr>
      <w:r>
        <w:rPr>
          <w:rFonts w:hint="eastAsia" w:ascii="仿宋" w:hAnsi="仿宋" w:eastAsia="仿宋" w:cs="仿宋"/>
          <w:b w:val="0"/>
          <w:bCs/>
          <w:color w:val="auto"/>
          <w:sz w:val="30"/>
          <w:szCs w:val="30"/>
          <w:highlight w:val="none"/>
          <w:lang w:eastAsia="zh-CN"/>
        </w:rPr>
        <w:t>二、</w:t>
      </w:r>
      <w:r>
        <w:rPr>
          <w:rFonts w:hint="eastAsia" w:ascii="仿宋" w:hAnsi="仿宋" w:eastAsia="仿宋" w:cs="仿宋"/>
          <w:b w:val="0"/>
          <w:bCs/>
          <w:color w:val="auto"/>
          <w:sz w:val="30"/>
          <w:szCs w:val="30"/>
          <w:highlight w:val="none"/>
        </w:rPr>
        <w:t>机构设置</w:t>
      </w:r>
      <w:r>
        <w:rPr>
          <w:rFonts w:hint="eastAsia" w:ascii="仿宋" w:hAnsi="仿宋" w:eastAsia="仿宋" w:cs="仿宋"/>
          <w:b w:val="0"/>
          <w:bCs/>
          <w:color w:val="auto"/>
          <w:sz w:val="30"/>
          <w:szCs w:val="30"/>
          <w:highlight w:val="none"/>
          <w:lang w:eastAsia="zh-CN"/>
        </w:rPr>
        <w:t>情况</w:t>
      </w:r>
    </w:p>
    <w:p>
      <w:pPr>
        <w:pStyle w:val="2"/>
        <w:numPr>
          <w:ilvl w:val="0"/>
          <w:numId w:val="2"/>
        </w:numPr>
        <w:ind w:firstLine="640" w:firstLineChars="200"/>
        <w:rPr>
          <w:rFonts w:hint="eastAsia" w:ascii="仿宋" w:hAnsi="仿宋" w:eastAsia="仿宋" w:cs="仿宋"/>
          <w:b w:val="0"/>
          <w:bCs/>
          <w:color w:val="auto"/>
          <w:sz w:val="30"/>
          <w:szCs w:val="30"/>
          <w:highlight w:val="none"/>
          <w:lang w:val="en-US" w:eastAsia="zh-CN"/>
        </w:rPr>
      </w:pPr>
      <w:r>
        <w:rPr>
          <w:rFonts w:hint="eastAsia" w:ascii="仿宋_GB2312" w:eastAsia="仿宋_GB2312"/>
          <w:b w:val="0"/>
          <w:bCs/>
          <w:sz w:val="32"/>
          <w:szCs w:val="32"/>
          <w:lang w:eastAsia="zh-CN"/>
        </w:rPr>
        <w:t>我单位设置</w:t>
      </w:r>
      <w:r>
        <w:rPr>
          <w:rFonts w:hint="eastAsia" w:ascii="仿宋_GB2312" w:eastAsia="仿宋_GB2312"/>
          <w:b w:val="0"/>
          <w:bCs/>
          <w:sz w:val="32"/>
          <w:szCs w:val="32"/>
          <w:lang w:val="en-US" w:eastAsia="zh-CN"/>
        </w:rPr>
        <w:t>12个</w:t>
      </w:r>
      <w:r>
        <w:rPr>
          <w:rFonts w:hint="eastAsia" w:ascii="仿宋_GB2312" w:eastAsia="仿宋_GB2312"/>
          <w:b w:val="0"/>
          <w:bCs/>
          <w:sz w:val="32"/>
          <w:szCs w:val="32"/>
          <w:lang w:eastAsia="zh-CN"/>
        </w:rPr>
        <w:t>股室，分别是：</w:t>
      </w:r>
      <w:r>
        <w:rPr>
          <w:rFonts w:hint="eastAsia" w:ascii="仿宋_GB2312" w:eastAsia="仿宋_GB2312"/>
          <w:b w:val="0"/>
          <w:bCs/>
          <w:sz w:val="32"/>
          <w:szCs w:val="32"/>
          <w:lang w:val="en-US" w:eastAsia="zh-CN"/>
        </w:rPr>
        <w:t>秘书股，负责机关日常运转，承担信息、保密信访等工作；计划财务股，提出全区扶持农业农村发展的财政政策和项目建议，负责机关和所属单位内部审计工作，编制部门预算并组织执行；乡村产业发展股，组织协调全区乡村产业发展；农村社会事业促进股，牵头组织全区改善农村人居环境，统筹指导乡村整治等工作；农村合作经济改革与指导股，指导发展农村新型农业经营主体和多种形式湿适度规模经营。承担农民承包地改革和管理、农村宅基地等工作；科技教育股，承担推动全区农业科技体制改革及相关体制建设、科研、技术引进、成果转化和技术推广工作；农产品质量安全监管股，组织实施全区农产品质量安全监督管理有关工作；种植业管理股，编制全区农业农村经济信息体系、大宗农产品市场体系建设规划并组织实施；畜牧兽医股，拟定全区畜牧业、饲料业、畜禽屠宰行业、兽医事业发展政策、规划并组织实施。农垦与渔业渔政管理股，拟定全区农垦经济发展战略、政策、规划；种业管理股，拟定全区农作物和畜禽种业发展政策规划；农田建设与农业机械管理股，提出全区农田建设项目需求建议，承担全区耕地质量管理相关工作。</w:t>
      </w:r>
      <w:r>
        <w:rPr>
          <w:rFonts w:hint="eastAsia" w:ascii="仿宋" w:hAnsi="仿宋" w:eastAsia="仿宋" w:cs="仿宋"/>
          <w:b w:val="0"/>
          <w:bCs/>
          <w:color w:val="auto"/>
          <w:kern w:val="2"/>
          <w:sz w:val="30"/>
          <w:szCs w:val="30"/>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eastAsia="zh-CN"/>
        </w:rPr>
        <w:t>我单位为一级单位，下属二级单位</w:t>
      </w:r>
      <w:r>
        <w:rPr>
          <w:rFonts w:hint="eastAsia" w:ascii="仿宋" w:hAnsi="仿宋" w:eastAsia="仿宋" w:cs="仿宋"/>
          <w:b w:val="0"/>
          <w:bCs/>
          <w:color w:val="auto"/>
          <w:sz w:val="30"/>
          <w:szCs w:val="30"/>
          <w:highlight w:val="none"/>
          <w:lang w:val="en-US" w:eastAsia="zh-CN"/>
        </w:rPr>
        <w:t>4个，分别是：</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color w:val="auto"/>
          <w:kern w:val="2"/>
          <w:sz w:val="30"/>
          <w:szCs w:val="30"/>
          <w:highlight w:val="none"/>
          <w:lang w:val="en-US" w:eastAsia="zh-CN" w:bidi="ar-SA"/>
        </w:rPr>
      </w:pPr>
      <w:r>
        <w:rPr>
          <w:rFonts w:hint="eastAsia" w:ascii="仿宋" w:hAnsi="仿宋" w:eastAsia="仿宋" w:cs="仿宋"/>
          <w:b w:val="0"/>
          <w:bCs/>
          <w:color w:val="auto"/>
          <w:kern w:val="2"/>
          <w:sz w:val="30"/>
          <w:szCs w:val="30"/>
          <w:highlight w:val="none"/>
          <w:lang w:val="en-US" w:eastAsia="zh-CN" w:bidi="ar-SA"/>
        </w:rPr>
        <w:t>1、朔城区现代农业发展服务中心；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color w:val="auto"/>
          <w:kern w:val="2"/>
          <w:sz w:val="30"/>
          <w:szCs w:val="30"/>
          <w:highlight w:val="none"/>
          <w:lang w:val="en-US" w:eastAsia="zh-CN" w:bidi="ar-SA"/>
        </w:rPr>
      </w:pPr>
      <w:r>
        <w:rPr>
          <w:rFonts w:hint="eastAsia" w:ascii="仿宋" w:hAnsi="仿宋" w:eastAsia="仿宋" w:cs="仿宋"/>
          <w:b w:val="0"/>
          <w:bCs/>
          <w:color w:val="auto"/>
          <w:kern w:val="2"/>
          <w:sz w:val="30"/>
          <w:szCs w:val="30"/>
          <w:highlight w:val="none"/>
          <w:lang w:val="en-US" w:eastAsia="zh-CN" w:bidi="ar-SA"/>
        </w:rPr>
        <w:t>2、农田建设服务中心；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color w:val="auto"/>
          <w:kern w:val="2"/>
          <w:sz w:val="30"/>
          <w:szCs w:val="30"/>
          <w:highlight w:val="none"/>
          <w:lang w:val="en-US" w:eastAsia="zh-CN" w:bidi="ar-SA"/>
        </w:rPr>
      </w:pPr>
      <w:r>
        <w:rPr>
          <w:rFonts w:hint="eastAsia" w:ascii="仿宋" w:hAnsi="仿宋" w:eastAsia="仿宋" w:cs="仿宋"/>
          <w:b w:val="0"/>
          <w:bCs/>
          <w:color w:val="auto"/>
          <w:kern w:val="2"/>
          <w:sz w:val="30"/>
          <w:szCs w:val="30"/>
          <w:highlight w:val="none"/>
          <w:lang w:val="en-US" w:eastAsia="zh-CN" w:bidi="ar-SA"/>
        </w:rPr>
        <w:t>3、农机服务中心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color w:val="auto"/>
          <w:kern w:val="2"/>
          <w:sz w:val="30"/>
          <w:szCs w:val="30"/>
          <w:highlight w:val="none"/>
          <w:lang w:val="en-US" w:eastAsia="zh-CN" w:bidi="ar-SA"/>
        </w:rPr>
      </w:pPr>
      <w:r>
        <w:rPr>
          <w:rFonts w:hint="eastAsia" w:ascii="仿宋" w:hAnsi="仿宋" w:eastAsia="仿宋" w:cs="仿宋"/>
          <w:b w:val="0"/>
          <w:bCs/>
          <w:color w:val="auto"/>
          <w:kern w:val="2"/>
          <w:sz w:val="30"/>
          <w:szCs w:val="30"/>
          <w:highlight w:val="none"/>
          <w:lang w:val="en-US" w:eastAsia="zh-CN" w:bidi="ar-SA"/>
        </w:rPr>
        <w:t>4、扶贫开发服务中心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宋体" w:hAnsi="宋体" w:eastAsia="仿宋_GB2312" w:cs="Times New Roman"/>
          <w:sz w:val="32"/>
          <w:szCs w:val="32"/>
        </w:rPr>
      </w:pPr>
      <w:r>
        <w:rPr>
          <w:rFonts w:hint="eastAsia" w:ascii="仿宋" w:hAnsi="仿宋" w:eastAsia="仿宋" w:cs="仿宋"/>
          <w:b w:val="0"/>
          <w:bCs/>
          <w:color w:val="auto"/>
          <w:kern w:val="2"/>
          <w:sz w:val="30"/>
          <w:szCs w:val="30"/>
          <w:highlight w:val="none"/>
          <w:lang w:val="en-US" w:eastAsia="zh-CN" w:bidi="ar-SA"/>
        </w:rPr>
        <w:t>我</w:t>
      </w:r>
      <w:r>
        <w:rPr>
          <w:rFonts w:hint="eastAsia" w:ascii="宋体" w:hAnsi="宋体" w:eastAsia="仿宋_GB2312" w:cs="Times New Roman"/>
          <w:sz w:val="32"/>
          <w:szCs w:val="32"/>
        </w:rPr>
        <w:t>单位部门决算包括：本级决算</w:t>
      </w:r>
      <w:bookmarkStart w:id="22" w:name="_GoBack"/>
      <w:bookmarkEnd w:id="22"/>
      <w:r>
        <w:rPr>
          <w:rFonts w:hint="eastAsia" w:ascii="宋体" w:hAnsi="宋体" w:eastAsia="仿宋_GB2312" w:cs="Times New Roman"/>
          <w:sz w:val="32"/>
          <w:szCs w:val="32"/>
        </w:rPr>
        <w:t>。</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3"/>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10406.5</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10406.5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6835.24</w:t>
      </w:r>
      <w:r>
        <w:rPr>
          <w:rFonts w:hint="eastAsia" w:ascii="宋体" w:hAnsi="宋体" w:eastAsia="仿宋_GB2312" w:cs="Times New Roman"/>
          <w:sz w:val="32"/>
          <w:szCs w:val="32"/>
        </w:rPr>
        <w:t>万元，支出总计减少</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6835.24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2021年度财政扶贫资金、农村人居环境资金、农村厕所改造资金不在我单位列支。</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10406.5</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10406.5</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10406.5</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288.78</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10177.72</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10406.5</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10406.5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6835.24</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65.7</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2021年度财政扶贫资金、农村人居环境资金、农村厕所改造资金不在我单位列支。</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10406.5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宋体" w:hAnsi="宋体" w:eastAsia="仿宋_GB2312" w:cs="Times New Roman"/>
          <w:sz w:val="32"/>
          <w:szCs w:val="32"/>
          <w:lang w:val="en-US" w:eastAsia="zh-CN"/>
        </w:rPr>
        <w:t>6835.24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2021年度财政扶贫资金、农村人居环境资金、农村厕所改造资金不在我单位列支。</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10406.5</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2013202</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2069999</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0.1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0.001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2100601</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2130101</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346.81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3.33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2130199</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3528.65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33.91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2130803</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6474.94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62.22</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2299999</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0.04</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10406.5</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10406.5</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288.78</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265.68</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221.12</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44.56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23.1</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23.1</w:t>
      </w:r>
      <w:r>
        <w:rPr>
          <w:rFonts w:hint="eastAsia" w:ascii="宋体" w:hAnsi="宋体" w:eastAsia="仿宋_GB2312" w:cs="Times New Roman"/>
          <w:sz w:val="32"/>
          <w:szCs w:val="32"/>
        </w:rPr>
        <w:t>万元和资本性支出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1.5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1.5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与同年预算相比增加</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万元。公务用车运行维护费</w:t>
      </w:r>
      <w:r>
        <w:rPr>
          <w:rFonts w:hint="eastAsia" w:ascii="仿宋" w:hAnsi="仿宋" w:eastAsia="仿宋" w:cs="仿宋"/>
          <w:spacing w:val="4"/>
          <w:sz w:val="32"/>
          <w:szCs w:val="32"/>
          <w:lang w:val="en-US" w:eastAsia="zh-CN"/>
        </w:rPr>
        <w:t>1.5</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bookmarkEnd w:id="18"/>
    <w:bookmarkEnd w:id="19"/>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23.1</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51.7</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223</w:t>
      </w:r>
      <w:r>
        <w:rPr>
          <w:rFonts w:hint="eastAsia" w:ascii="宋体" w:hAnsi="宋体" w:eastAsia="仿宋_GB2312" w:cs="Times New Roman"/>
          <w:sz w:val="32"/>
          <w:szCs w:val="32"/>
        </w:rPr>
        <w:t>%，主要原因</w:t>
      </w:r>
      <w:r>
        <w:rPr>
          <w:rFonts w:hint="eastAsia" w:ascii="宋体" w:hAnsi="宋体" w:eastAsia="仿宋_GB2312" w:cs="Times New Roman"/>
          <w:sz w:val="32"/>
          <w:szCs w:val="32"/>
          <w:lang w:val="en-US" w:eastAsia="zh-CN"/>
        </w:rPr>
        <w:t>是：2021年部分项目资金商品服务支出未在此项科目列支。</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150</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150</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我单位本年未开展绩效管理工作。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F08F4"/>
    <w:multiLevelType w:val="singleLevel"/>
    <w:tmpl w:val="F15F08F4"/>
    <w:lvl w:ilvl="0" w:tentative="0">
      <w:start w:val="1"/>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N2NlZDhjNjVmZjY3OTFmZTU5ZTVhMmE4ZGViNDMifQ=="/>
  </w:docVars>
  <w:rsids>
    <w:rsidRoot w:val="7E3F0B7D"/>
    <w:rsid w:val="000014A7"/>
    <w:rsid w:val="00052B5B"/>
    <w:rsid w:val="00774AFB"/>
    <w:rsid w:val="00E4217F"/>
    <w:rsid w:val="0E115DFD"/>
    <w:rsid w:val="11D27EAE"/>
    <w:rsid w:val="19AD0452"/>
    <w:rsid w:val="20D97C1B"/>
    <w:rsid w:val="23553F43"/>
    <w:rsid w:val="255F4FDE"/>
    <w:rsid w:val="299664C8"/>
    <w:rsid w:val="3F28132A"/>
    <w:rsid w:val="49221B6F"/>
    <w:rsid w:val="4A891FAC"/>
    <w:rsid w:val="6544153D"/>
    <w:rsid w:val="68CD37BD"/>
    <w:rsid w:val="6C940C35"/>
    <w:rsid w:val="7A601D17"/>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2608</Words>
  <Characters>2952</Characters>
  <Lines>5</Lines>
  <Paragraphs>7</Paragraphs>
  <TotalTime>1</TotalTime>
  <ScaleCrop>false</ScaleCrop>
  <LinksUpToDate>false</LinksUpToDate>
  <CharactersWithSpaces>3012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弓俊₁₃₉....₂₀₃</cp:lastModifiedBy>
  <cp:lastPrinted>2021-10-28T11:45:00Z</cp:lastPrinted>
  <dcterms:modified xsi:type="dcterms:W3CDTF">2022-10-20T10:37:56Z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C3DECAF4AFAF4588B5E72F1F4B8F7D65</vt:lpwstr>
  </property>
</Properties>
</file>