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Fonts w:hint="eastAsia" w:ascii="黑体" w:eastAsia="黑体"/>
          <w:sz w:val="44"/>
          <w:szCs w:val="44"/>
          <w:lang w:val="en-US" w:eastAsia="zh-CN"/>
        </w:rPr>
      </w:pPr>
      <w:r>
        <w:rPr>
          <w:rFonts w:hint="eastAsia" w:ascii="黑体" w:eastAsia="黑体"/>
          <w:sz w:val="44"/>
          <w:szCs w:val="44"/>
          <w:lang w:val="en-US" w:eastAsia="zh-CN"/>
        </w:rPr>
        <w:t>朔州市朔城区下团堡乡人民政府</w:t>
      </w:r>
    </w:p>
    <w:p>
      <w:pPr>
        <w:jc w:val="center"/>
        <w:rPr>
          <w:rFonts w:ascii="黑体" w:eastAsia="黑体"/>
          <w:sz w:val="44"/>
          <w:szCs w:val="44"/>
        </w:rPr>
      </w:pPr>
      <w:r>
        <w:rPr>
          <w:rFonts w:hint="eastAsia" w:ascii="黑体" w:eastAsia="黑体"/>
          <w:sz w:val="44"/>
          <w:szCs w:val="44"/>
        </w:rPr>
        <w:t>202</w:t>
      </w:r>
      <w:r>
        <w:rPr>
          <w:rFonts w:hint="eastAsia" w:ascii="黑体" w:eastAsia="黑体"/>
          <w:sz w:val="44"/>
          <w:szCs w:val="44"/>
          <w:lang w:val="en-US" w:eastAsia="zh-CN"/>
        </w:rPr>
        <w:t>1</w:t>
      </w:r>
      <w:r>
        <w:rPr>
          <w:rFonts w:hint="eastAsia" w:ascii="黑体" w:eastAsia="黑体"/>
          <w:sz w:val="44"/>
          <w:szCs w:val="44"/>
        </w:rPr>
        <w:t>年部门决算公开情况说明</w:t>
      </w:r>
    </w:p>
    <w:p>
      <w:pPr>
        <w:spacing w:line="360" w:lineRule="auto"/>
        <w:jc w:val="center"/>
        <w:rPr>
          <w:rFonts w:ascii="宋体" w:hAnsi="宋体" w:cs="宋体"/>
          <w:sz w:val="44"/>
          <w:szCs w:val="44"/>
        </w:rPr>
      </w:pPr>
      <w:bookmarkStart w:id="0" w:name="_Toc8044_WPSOffice_Level1"/>
      <w:bookmarkStart w:id="1" w:name="_Toc4691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w:t>
      </w:r>
      <w:r>
        <w:rPr>
          <w:rFonts w:hint="eastAsia" w:ascii="宋体" w:hAnsi="宋体" w:cs="宋体"/>
          <w:b/>
          <w:sz w:val="30"/>
          <w:szCs w:val="30"/>
          <w:lang w:val="en-US" w:eastAsia="zh-CN"/>
        </w:rPr>
        <w:t>1</w:t>
      </w:r>
      <w:r>
        <w:rPr>
          <w:rFonts w:hint="eastAsia" w:ascii="宋体" w:hAnsi="宋体" w:cs="宋体"/>
          <w:b/>
          <w:sz w:val="30"/>
          <w:szCs w:val="30"/>
        </w:rPr>
        <w:t>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w:t>
      </w:r>
      <w:r>
        <w:rPr>
          <w:rFonts w:hint="eastAsia" w:ascii="宋体" w:hAnsi="宋体" w:cs="宋体"/>
          <w:b/>
          <w:sz w:val="30"/>
          <w:szCs w:val="30"/>
          <w:lang w:val="en-US" w:eastAsia="zh-CN"/>
        </w:rPr>
        <w:t>1</w:t>
      </w:r>
      <w:r>
        <w:rPr>
          <w:rFonts w:hint="eastAsia" w:ascii="宋体" w:hAnsi="宋体" w:cs="宋体"/>
          <w:b/>
          <w:sz w:val="30"/>
          <w:szCs w:val="30"/>
        </w:rPr>
        <w:t>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ind w:firstLine="960" w:firstLineChars="300"/>
        <w:rPr>
          <w:rFonts w:hint="eastAsia" w:ascii="仿宋" w:hAnsi="仿宋" w:eastAsia="仿宋" w:cs="仿宋"/>
          <w:sz w:val="32"/>
          <w:szCs w:val="32"/>
        </w:rPr>
      </w:pPr>
      <w:r>
        <w:rPr>
          <w:rFonts w:hint="eastAsia" w:ascii="仿宋" w:hAnsi="仿宋" w:eastAsia="仿宋" w:cs="仿宋"/>
          <w:sz w:val="32"/>
          <w:szCs w:val="32"/>
        </w:rPr>
        <w:t>1、认真贯彻执行党的路线、方针、政策和国家的法律、法规。执行上级党委、政府的决定和命令以及本级人民代表大会的决议。贯彻落实区委、区政府的重大决策和重要部署。</w:t>
      </w:r>
    </w:p>
    <w:p>
      <w:pPr>
        <w:ind w:firstLine="960" w:firstLineChars="300"/>
        <w:rPr>
          <w:rFonts w:hint="eastAsia" w:ascii="仿宋" w:hAnsi="仿宋" w:eastAsia="仿宋" w:cs="仿宋"/>
          <w:sz w:val="32"/>
          <w:szCs w:val="32"/>
        </w:rPr>
      </w:pPr>
      <w:r>
        <w:rPr>
          <w:rFonts w:hint="eastAsia" w:ascii="仿宋" w:hAnsi="仿宋" w:eastAsia="仿宋" w:cs="仿宋"/>
          <w:sz w:val="32"/>
          <w:szCs w:val="32"/>
        </w:rPr>
        <w:t>2、制定并组织实施本乡社会和经济发展规划。组织和指导本行政区域内的教育、科学、文化、卫生、计生等各项事业的发展，做好财政、民政、公安、司法、国土资源、统计等各项工作。</w:t>
      </w:r>
    </w:p>
    <w:p>
      <w:pPr>
        <w:ind w:firstLine="960" w:firstLineChars="300"/>
        <w:rPr>
          <w:rFonts w:hint="eastAsia" w:ascii="仿宋" w:hAnsi="仿宋" w:eastAsia="仿宋" w:cs="仿宋"/>
          <w:sz w:val="32"/>
          <w:szCs w:val="32"/>
        </w:rPr>
      </w:pPr>
      <w:r>
        <w:rPr>
          <w:rFonts w:hint="eastAsia" w:ascii="仿宋" w:hAnsi="仿宋" w:eastAsia="仿宋" w:cs="仿宋"/>
          <w:sz w:val="32"/>
          <w:szCs w:val="32"/>
        </w:rPr>
        <w:t>3、依法依规合理安排本级财政支出，管好用好财政资金，完成本级财政计划。</w:t>
      </w:r>
    </w:p>
    <w:p>
      <w:pPr>
        <w:ind w:firstLine="960" w:firstLineChars="300"/>
        <w:rPr>
          <w:rFonts w:hint="eastAsia" w:ascii="仿宋" w:hAnsi="仿宋" w:eastAsia="仿宋" w:cs="仿宋"/>
          <w:sz w:val="32"/>
          <w:szCs w:val="32"/>
        </w:rPr>
      </w:pPr>
      <w:r>
        <w:rPr>
          <w:rFonts w:hint="eastAsia" w:ascii="仿宋" w:hAnsi="仿宋" w:eastAsia="仿宋" w:cs="仿宋"/>
          <w:sz w:val="32"/>
          <w:szCs w:val="32"/>
        </w:rPr>
        <w:t>4、定期向本级党委、人民代表大会报告工作。组织指导好各业生产，指导各村民委员会的工作，抓好基层政权建设、乡村建设和精神文明建设，促进本乡各项社会事业的健康发展。</w:t>
      </w:r>
    </w:p>
    <w:p>
      <w:pPr>
        <w:ind w:firstLine="960" w:firstLineChars="300"/>
        <w:rPr>
          <w:rFonts w:hint="eastAsia" w:ascii="仿宋" w:hAnsi="仿宋" w:eastAsia="仿宋" w:cs="仿宋"/>
          <w:sz w:val="32"/>
          <w:szCs w:val="32"/>
        </w:rPr>
      </w:pPr>
      <w:r>
        <w:rPr>
          <w:rFonts w:hint="eastAsia" w:ascii="仿宋" w:hAnsi="仿宋" w:eastAsia="仿宋" w:cs="仿宋"/>
          <w:sz w:val="32"/>
          <w:szCs w:val="32"/>
        </w:rPr>
        <w:t>5、保护公民个人所有的合法财产和群众集体所有财产。维护本区域一切单位和个人的正当合法权益，保障公民的人身权利、民主权利和其他权利。加强社会治安综合治理，处理好各种利益矛盾，维护本行政区域社会稳定。</w:t>
      </w:r>
    </w:p>
    <w:p>
      <w:pPr>
        <w:ind w:firstLine="960" w:firstLineChars="300"/>
        <w:rPr>
          <w:rFonts w:ascii="仿宋" w:hAnsi="仿宋" w:eastAsia="仿宋" w:cs="仿宋"/>
          <w:sz w:val="32"/>
          <w:szCs w:val="32"/>
        </w:rPr>
      </w:pPr>
      <w:r>
        <w:rPr>
          <w:rFonts w:hint="eastAsia" w:ascii="仿宋" w:hAnsi="仿宋" w:eastAsia="仿宋" w:cs="仿宋"/>
          <w:sz w:val="32"/>
          <w:szCs w:val="32"/>
        </w:rPr>
        <w:t xml:space="preserve">6、完成上级党委、政府下达的其他各项工作任务。                            </w:t>
      </w:r>
    </w:p>
    <w:p>
      <w:pPr>
        <w:numPr>
          <w:ilvl w:val="0"/>
          <w:numId w:val="1"/>
        </w:numPr>
        <w:rPr>
          <w:rFonts w:ascii="仿宋" w:hAnsi="仿宋" w:eastAsia="仿宋" w:cs="仿宋"/>
          <w:sz w:val="32"/>
          <w:szCs w:val="32"/>
        </w:rPr>
      </w:pPr>
      <w:r>
        <w:rPr>
          <w:rFonts w:hint="eastAsia" w:ascii="仿宋" w:hAnsi="仿宋" w:eastAsia="仿宋" w:cs="仿宋"/>
          <w:sz w:val="32"/>
          <w:szCs w:val="32"/>
        </w:rPr>
        <w:t>部门机构设置</w:t>
      </w:r>
    </w:p>
    <w:p>
      <w:pPr>
        <w:spacing w:line="204" w:lineRule="auto"/>
        <w:ind w:firstLine="667"/>
        <w:jc w:val="left"/>
        <w:rPr>
          <w:rFonts w:ascii="宋体" w:hAnsi="宋体" w:eastAsia="仿宋_GB2312" w:cs="Times New Roman"/>
          <w:sz w:val="32"/>
          <w:szCs w:val="32"/>
        </w:rPr>
      </w:pPr>
      <w:r>
        <w:rPr>
          <w:rFonts w:hint="eastAsia" w:ascii="仿宋" w:hAnsi="仿宋" w:eastAsia="仿宋" w:cs="仿宋"/>
          <w:sz w:val="32"/>
          <w:szCs w:val="32"/>
        </w:rPr>
        <w:t>我单位属一级基层政权组织，为行政机关，是一级预算单位。内设机构有：综合办公室、社会事务办公室、财政所、经管站、统计站、水管站、农技站、林业站、退役军人事务站、计生办、便民服务中心。本行政区域有30个村民委员会。从预算单位构成看，本单位部门决算只包括：本级决算。</w:t>
      </w:r>
    </w:p>
    <w:p>
      <w:pPr>
        <w:rPr>
          <w:rFonts w:ascii="仿宋" w:hAnsi="仿宋" w:eastAsia="仿宋" w:cs="仿宋"/>
          <w:sz w:val="32"/>
          <w:szCs w:val="32"/>
        </w:rPr>
      </w:pP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25884_WPSOffice_Level1"/>
      <w:bookmarkStart w:id="4" w:name="_Toc17336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年度部门决算情况说明</w:t>
      </w:r>
      <w:bookmarkEnd w:id="3"/>
      <w:bookmarkEnd w:id="4"/>
    </w:p>
    <w:p>
      <w:pPr>
        <w:numPr>
          <w:ilvl w:val="0"/>
          <w:numId w:val="2"/>
        </w:numPr>
        <w:rPr>
          <w:rFonts w:ascii="仿宋" w:hAnsi="仿宋" w:eastAsia="仿宋" w:cs="仿宋"/>
          <w:sz w:val="32"/>
          <w:szCs w:val="32"/>
        </w:rPr>
      </w:pPr>
      <w:bookmarkStart w:id="5" w:name="_Toc22880_WPSOffice_Level2"/>
      <w:bookmarkStart w:id="6" w:name="_Toc1653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hint="default" w:ascii="宋体" w:hAnsi="宋体" w:eastAsia="仿宋_GB2312" w:cs="Times New Roman"/>
          <w:sz w:val="32"/>
          <w:szCs w:val="32"/>
          <w:lang w:val="en-US" w:eastAsia="zh-CN"/>
        </w:rPr>
      </w:pPr>
      <w:bookmarkStart w:id="7" w:name="_Toc1438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 度 收 入 总 计</w:t>
      </w:r>
      <w:r>
        <w:rPr>
          <w:rFonts w:hint="eastAsia" w:ascii="宋体" w:hAnsi="宋体" w:eastAsia="仿宋_GB2312" w:cs="Times New Roman"/>
          <w:sz w:val="32"/>
          <w:szCs w:val="32"/>
          <w:lang w:val="en-US" w:eastAsia="zh-CN"/>
        </w:rPr>
        <w:t>1988.64</w:t>
      </w:r>
      <w:r>
        <w:rPr>
          <w:rFonts w:hint="eastAsia" w:ascii="宋体" w:hAnsi="宋体" w:eastAsia="仿宋_GB2312" w:cs="Times New Roman"/>
          <w:sz w:val="32"/>
          <w:szCs w:val="32"/>
        </w:rPr>
        <w:t>万元 、 支 出 总 计</w:t>
      </w:r>
      <w:r>
        <w:rPr>
          <w:rFonts w:hint="eastAsia" w:ascii="宋体" w:hAnsi="宋体" w:eastAsia="仿宋_GB2312" w:cs="Times New Roman"/>
          <w:sz w:val="32"/>
          <w:szCs w:val="32"/>
          <w:lang w:val="en-US" w:eastAsia="zh-CN"/>
        </w:rPr>
        <w:t>1988.64</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年相比,收入总计增加</w:t>
      </w:r>
      <w:r>
        <w:rPr>
          <w:rFonts w:hint="eastAsia" w:ascii="宋体" w:hAnsi="宋体" w:eastAsia="仿宋_GB2312" w:cs="Times New Roman"/>
          <w:sz w:val="32"/>
          <w:szCs w:val="32"/>
          <w:lang w:val="en-US" w:eastAsia="zh-CN"/>
        </w:rPr>
        <w:t>585.97</w:t>
      </w:r>
      <w:r>
        <w:rPr>
          <w:rFonts w:hint="eastAsia" w:ascii="宋体" w:hAnsi="宋体" w:eastAsia="仿宋_GB2312" w:cs="Times New Roman"/>
          <w:sz w:val="32"/>
          <w:szCs w:val="32"/>
        </w:rPr>
        <w:t>万元，支出总计增加</w:t>
      </w:r>
      <w:r>
        <w:rPr>
          <w:rFonts w:hint="eastAsia" w:ascii="宋体" w:hAnsi="宋体" w:eastAsia="仿宋_GB2312" w:cs="Times New Roman"/>
          <w:sz w:val="32"/>
          <w:szCs w:val="32"/>
          <w:lang w:val="en-US" w:eastAsia="zh-CN"/>
        </w:rPr>
        <w:t>585.97</w:t>
      </w:r>
      <w:r>
        <w:rPr>
          <w:rFonts w:ascii="仿宋" w:hAnsi="仿宋" w:eastAsia="仿宋" w:cs="仿宋"/>
          <w:spacing w:val="-34"/>
          <w:sz w:val="32"/>
          <w:szCs w:val="32"/>
        </w:rPr>
        <w:t xml:space="preserve"> </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val="en-US" w:eastAsia="zh-CN"/>
        </w:rPr>
        <w:t>1.新增2021年产粮大县中央奖励资金；2.新增下团堡乡农村改厕资金项目；3.新增2021年煤改气居民取暖补贴资金；4.新增下团堡乡疫情防控资金；5.新增节能环保支出；6.新增社会保障和就业支出。</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6621_WPSOffice_Level2"/>
      <w:bookmarkStart w:id="9" w:name="_Toc504_WPSOffice_Level2"/>
      <w:r>
        <w:rPr>
          <w:rFonts w:hint="eastAsia" w:ascii="宋体" w:hAnsi="宋体" w:eastAsia="仿宋_GB2312" w:cs="Times New Roman"/>
          <w:sz w:val="32"/>
          <w:szCs w:val="32"/>
        </w:rPr>
        <w:t>本年收入合计</w:t>
      </w:r>
      <w:r>
        <w:rPr>
          <w:rFonts w:hint="eastAsia" w:ascii="宋体" w:hAnsi="宋体" w:eastAsia="仿宋_GB2312" w:cs="Times New Roman"/>
          <w:sz w:val="32"/>
          <w:szCs w:val="32"/>
          <w:lang w:val="en-US" w:eastAsia="zh-CN"/>
        </w:rPr>
        <w:t>1988.64</w:t>
      </w:r>
      <w:r>
        <w:rPr>
          <w:rFonts w:hint="eastAsia" w:ascii="宋体" w:hAnsi="宋体" w:eastAsia="仿宋_GB2312" w:cs="Times New Roman"/>
          <w:sz w:val="32"/>
          <w:szCs w:val="32"/>
        </w:rPr>
        <w:t>万元，其中：财政拨款收入</w:t>
      </w:r>
      <w:r>
        <w:rPr>
          <w:rFonts w:hint="eastAsia" w:ascii="宋体" w:hAnsi="宋体" w:eastAsia="仿宋_GB2312" w:cs="Times New Roman"/>
          <w:sz w:val="32"/>
          <w:szCs w:val="32"/>
          <w:lang w:val="en-US" w:eastAsia="zh-CN"/>
        </w:rPr>
        <w:t>1988.64</w:t>
      </w:r>
      <w:r>
        <w:rPr>
          <w:rFonts w:hint="eastAsia" w:ascii="宋体" w:hAnsi="宋体" w:eastAsia="仿宋_GB2312" w:cs="Times New Roman"/>
          <w:sz w:val="32"/>
          <w:szCs w:val="32"/>
        </w:rPr>
        <w:t>万元;上级补助收入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 xml:space="preserve">万元；事业收入 </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 xml:space="preserve">万元；附属单位上缴收入 </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 xml:space="preserve"> 万元；其他收入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8754_WPSOffice_Level2"/>
      <w:bookmarkStart w:id="11" w:name="_Toc32119_WPSOffice_Level2"/>
      <w:r>
        <w:rPr>
          <w:rFonts w:hint="eastAsia" w:ascii="宋体" w:hAnsi="宋体" w:eastAsia="仿宋_GB2312" w:cs="Times New Roman"/>
          <w:sz w:val="32"/>
          <w:szCs w:val="32"/>
        </w:rPr>
        <w:t>本年支出合计</w:t>
      </w:r>
      <w:r>
        <w:rPr>
          <w:rFonts w:hint="eastAsia" w:ascii="宋体" w:hAnsi="宋体" w:eastAsia="仿宋_GB2312" w:cs="Times New Roman"/>
          <w:sz w:val="32"/>
          <w:szCs w:val="32"/>
          <w:lang w:val="en-US" w:eastAsia="zh-CN"/>
        </w:rPr>
        <w:t>1988.64</w:t>
      </w:r>
      <w:r>
        <w:rPr>
          <w:rFonts w:hint="eastAsia" w:ascii="宋体" w:hAnsi="宋体" w:eastAsia="仿宋_GB2312" w:cs="Times New Roman"/>
          <w:sz w:val="32"/>
          <w:szCs w:val="32"/>
        </w:rPr>
        <w:t>万元 ，其中：基本支出</w:t>
      </w:r>
      <w:r>
        <w:rPr>
          <w:rFonts w:hint="eastAsia" w:ascii="宋体" w:hAnsi="宋体" w:eastAsia="仿宋_GB2312" w:cs="Times New Roman"/>
          <w:sz w:val="32"/>
          <w:szCs w:val="32"/>
          <w:lang w:val="en-US" w:eastAsia="zh-CN"/>
        </w:rPr>
        <w:t>604.25</w:t>
      </w:r>
      <w:r>
        <w:rPr>
          <w:rFonts w:hint="eastAsia" w:ascii="宋体" w:hAnsi="宋体" w:eastAsia="仿宋_GB2312" w:cs="Times New Roman"/>
          <w:sz w:val="32"/>
          <w:szCs w:val="32"/>
        </w:rPr>
        <w:t>万元 ；项目支出</w:t>
      </w:r>
      <w:r>
        <w:rPr>
          <w:rFonts w:hint="eastAsia" w:ascii="宋体" w:hAnsi="宋体" w:eastAsia="仿宋_GB2312" w:cs="Times New Roman"/>
          <w:sz w:val="32"/>
          <w:szCs w:val="32"/>
          <w:lang w:val="en-US" w:eastAsia="zh-CN"/>
        </w:rPr>
        <w:t>1384.39</w:t>
      </w:r>
      <w:r>
        <w:rPr>
          <w:rFonts w:hint="eastAsia" w:ascii="宋体" w:hAnsi="宋体" w:eastAsia="仿宋_GB2312" w:cs="Times New Roman"/>
          <w:sz w:val="32"/>
          <w:szCs w:val="32"/>
        </w:rPr>
        <w:t>万元；上缴上级支出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万元；对附属单位补助支出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ascii="宋体" w:hAnsi="宋体" w:eastAsia="仿宋_GB2312" w:cs="Times New Roman"/>
          <w:sz w:val="32"/>
          <w:szCs w:val="32"/>
        </w:rPr>
      </w:pPr>
      <w:bookmarkStart w:id="12" w:name="_Toc2892_WPSOffice_Level2"/>
      <w:bookmarkStart w:id="13" w:name="_Toc23250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年度财政拨款收入总计</w:t>
      </w:r>
      <w:r>
        <w:rPr>
          <w:rFonts w:hint="eastAsia" w:ascii="宋体" w:hAnsi="宋体" w:eastAsia="仿宋_GB2312" w:cs="Times New Roman"/>
          <w:sz w:val="32"/>
          <w:szCs w:val="32"/>
          <w:lang w:val="en-US" w:eastAsia="zh-CN"/>
        </w:rPr>
        <w:t>1988.64</w:t>
      </w:r>
      <w:r>
        <w:rPr>
          <w:rFonts w:hint="eastAsia" w:ascii="宋体" w:hAnsi="宋体" w:eastAsia="仿宋_GB2312" w:cs="Times New Roman"/>
          <w:sz w:val="32"/>
          <w:szCs w:val="32"/>
        </w:rPr>
        <w:t>万元、支出总计</w:t>
      </w:r>
      <w:r>
        <w:rPr>
          <w:rFonts w:hint="eastAsia" w:ascii="宋体" w:hAnsi="宋体" w:eastAsia="仿宋_GB2312" w:cs="Times New Roman"/>
          <w:sz w:val="32"/>
          <w:szCs w:val="32"/>
          <w:lang w:val="en-US" w:eastAsia="zh-CN"/>
        </w:rPr>
        <w:t>1988.64</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年相比，财政拨款收入总计增加</w:t>
      </w:r>
      <w:r>
        <w:rPr>
          <w:rFonts w:ascii="仿宋" w:hAnsi="仿宋" w:eastAsia="仿宋" w:cs="仿宋"/>
          <w:spacing w:val="-34"/>
          <w:sz w:val="32"/>
          <w:szCs w:val="32"/>
        </w:rPr>
        <w:t xml:space="preserve"> </w:t>
      </w:r>
      <w:r>
        <w:rPr>
          <w:rFonts w:hint="eastAsia" w:ascii="仿宋" w:hAnsi="仿宋" w:eastAsia="仿宋" w:cs="仿宋"/>
          <w:spacing w:val="-34"/>
          <w:sz w:val="32"/>
          <w:szCs w:val="32"/>
          <w:lang w:val="en-US" w:eastAsia="zh-CN"/>
        </w:rPr>
        <w:t>585.97</w:t>
      </w:r>
      <w:r>
        <w:rPr>
          <w:rFonts w:hint="eastAsia" w:ascii="宋体" w:hAnsi="宋体" w:eastAsia="仿宋_GB2312" w:cs="Times New Roman"/>
          <w:sz w:val="32"/>
          <w:szCs w:val="32"/>
        </w:rPr>
        <w:t>万元，增长</w:t>
      </w:r>
      <w:r>
        <w:rPr>
          <w:rFonts w:hint="eastAsia" w:ascii="宋体" w:hAnsi="宋体" w:eastAsia="仿宋_GB2312" w:cs="Times New Roman"/>
          <w:sz w:val="32"/>
          <w:szCs w:val="32"/>
          <w:lang w:val="en-US" w:eastAsia="zh-CN"/>
        </w:rPr>
        <w:t>41</w:t>
      </w:r>
      <w:r>
        <w:rPr>
          <w:rFonts w:hint="eastAsia" w:ascii="宋体" w:hAnsi="宋体" w:eastAsia="仿宋_GB2312" w:cs="Times New Roman"/>
          <w:sz w:val="32"/>
          <w:szCs w:val="32"/>
        </w:rPr>
        <w:t>%。主要原因是：</w:t>
      </w:r>
      <w:r>
        <w:rPr>
          <w:rFonts w:hint="eastAsia" w:ascii="宋体" w:hAnsi="宋体" w:eastAsia="仿宋_GB2312" w:cs="Times New Roman"/>
          <w:sz w:val="32"/>
          <w:szCs w:val="32"/>
          <w:lang w:val="en-US" w:eastAsia="zh-CN"/>
        </w:rPr>
        <w:t>1.新增2021年产粮大县中央奖励资金；2.新增下团堡乡农村改厕资金项目；3.新增2021年煤改气居民取暖补贴资金；4.新增下团堡乡疫情防控资金；5.新增节能环保支出；6.新增社会保障和就业支出。</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spacing w:line="204" w:lineRule="auto"/>
        <w:ind w:firstLine="667"/>
        <w:jc w:val="left"/>
        <w:rPr>
          <w:rFonts w:ascii="宋体" w:hAnsi="宋体" w:eastAsia="仿宋_GB2312" w:cs="Times New Roman"/>
          <w:sz w:val="32"/>
          <w:szCs w:val="32"/>
        </w:rPr>
      </w:pPr>
      <w:r>
        <w:rPr>
          <w:rFonts w:hint="eastAsia" w:ascii="宋体" w:hAnsi="宋体" w:eastAsia="仿宋_GB2312" w:cs="Times New Roman"/>
          <w:sz w:val="32"/>
          <w:szCs w:val="32"/>
          <w:lang w:val="en-US" w:eastAsia="zh-CN"/>
        </w:rPr>
        <w:t>2021 年度财政拨款支出1938.64万元，</w:t>
      </w:r>
      <w:r>
        <w:rPr>
          <w:rFonts w:hint="eastAsia" w:ascii="宋体" w:hAnsi="宋体" w:eastAsia="仿宋_GB2312" w:cs="Times New Roman"/>
          <w:sz w:val="32"/>
          <w:szCs w:val="32"/>
        </w:rPr>
        <w:t xml:space="preserve">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年相比，财政拨款支出增加</w:t>
      </w:r>
      <w:r>
        <w:rPr>
          <w:rFonts w:hint="eastAsia" w:ascii="宋体" w:hAnsi="宋体" w:eastAsia="仿宋_GB2312" w:cs="Times New Roman"/>
          <w:sz w:val="32"/>
          <w:szCs w:val="32"/>
          <w:lang w:val="en-US" w:eastAsia="zh-CN"/>
        </w:rPr>
        <w:t>535.97</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val="en-US" w:eastAsia="zh-CN"/>
        </w:rPr>
        <w:t>1.新增2021年产粮大县中央奖励资金；2.新增下团堡乡农村改厕资金项目；3.新增2021年煤改气居民取暖补贴资金；4.新增下团堡乡疫情防控资金；5.新增节能环保支出；6.新增社会保障和就业支出。</w:t>
      </w:r>
      <w:r>
        <w:rPr>
          <w:rFonts w:hint="eastAsia" w:ascii="宋体" w:hAnsi="宋体" w:eastAsia="仿宋_GB2312" w:cs="Times New Roman"/>
          <w:sz w:val="32"/>
          <w:szCs w:val="32"/>
        </w:rPr>
        <w:t xml:space="preserve"> </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204" w:lineRule="auto"/>
        <w:ind w:firstLine="667"/>
        <w:jc w:val="left"/>
        <w:rPr>
          <w:rFonts w:hint="default" w:ascii="宋体" w:hAnsi="宋体" w:eastAsia="仿宋_GB2312" w:cs="Times New Roman"/>
          <w:sz w:val="32"/>
          <w:szCs w:val="32"/>
          <w:lang w:val="en-US" w:eastAsia="zh-CN"/>
        </w:rPr>
      </w:pPr>
      <w:bookmarkStart w:id="14" w:name="_Toc27424_WPSOffice_Level2"/>
      <w:bookmarkStart w:id="15" w:name="_Toc1066_WPSOffice_Level2"/>
      <w:r>
        <w:rPr>
          <w:rFonts w:hint="eastAsia" w:ascii="宋体" w:hAnsi="宋体" w:eastAsia="仿宋_GB2312" w:cs="Times New Roman"/>
          <w:sz w:val="32"/>
          <w:szCs w:val="32"/>
          <w:lang w:val="en-US" w:eastAsia="zh-CN"/>
        </w:rPr>
        <w:t>2021 年度财政拨款支出1938.64万元，主要用于以下方面：2010301</w:t>
      </w:r>
      <w:r>
        <w:rPr>
          <w:rFonts w:hint="eastAsia" w:ascii="宋体" w:hAnsi="宋体" w:eastAsia="仿宋_GB2312" w:cs="Times New Roman"/>
          <w:sz w:val="32"/>
          <w:szCs w:val="32"/>
          <w:lang w:val="en-US" w:eastAsia="zh-CN"/>
        </w:rPr>
        <w:tab/>
      </w:r>
      <w:r>
        <w:rPr>
          <w:rFonts w:hint="eastAsia" w:ascii="宋体" w:hAnsi="宋体" w:eastAsia="仿宋_GB2312" w:cs="Times New Roman"/>
          <w:sz w:val="32"/>
          <w:szCs w:val="32"/>
          <w:lang w:val="en-US" w:eastAsia="zh-CN"/>
        </w:rPr>
        <w:t>行政运行科目类支出515.88万元，占26.61%；2010302一般行政管理事务科目类支出256.50万元，占13.23%；2040602一般行政管理事务科目类支出0.40万元，占0.02%；2070102一般行政管理事务科目类支出0.20万元，占0.01%；2070802一般行政管理事务科目类支出0.60万元，占0.03%；2080801死亡抚恤科目类支出23.10万元，占1.19%；2080802伤残抚恤科目类支出24.12万元，占1.24%；2080803在乡复员、退伍军人生活补助科目类支出45.36万元，占2.33%；2080805义务兵优待科目类支出64.70万元，占3.33%；2080806农村籍退役士兵老年生活补助科目类支出16.77万元，占0.87%；2082102农村特困人员救助供养科目类支出77.88万元，占4.01%；2082502其他农村生活救助科目类支出0.30万元，占0.02%；2100302乡镇卫生院科目类支出12.30万元，占0.63%；2100410突发公共卫生事件应急处理科目类支出40.00万元，占2.06%；2110301大气科目类支出54.77万元，占2.82%；2120801征地和拆迁补偿科目类支出50.00万元，占2.58%；2130126农村社会事业科目类支出10.50万元，占0.54%；02130199其他农业农村科目类支出291.06万元，占15.01%；2130701对村级一事一议的补助科目类支出90.00万元，占4.64%；2130705对村民委员会和村党支部的补助科目类支出8.20万元，占0.42%；2130706对村集体经济组织的补助科目类支出366.00万元，占18.87%。2200106自然资源利用与保护科目类支出40.00万元，占2.06%。</w:t>
      </w:r>
      <w:bookmarkStart w:id="22" w:name="_GoBack"/>
      <w:bookmarkEnd w:id="22"/>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56" w:firstLineChars="200"/>
        <w:rPr>
          <w:rFonts w:hint="eastAsia" w:ascii="仿宋" w:hAnsi="仿宋" w:eastAsia="仿宋" w:cs="仿宋"/>
          <w:spacing w:val="4"/>
          <w:sz w:val="32"/>
          <w:szCs w:val="32"/>
          <w:lang w:val="en-US" w:eastAsia="zh-CN"/>
        </w:rPr>
      </w:pPr>
      <w:r>
        <w:rPr>
          <w:rFonts w:hint="eastAsia" w:ascii="仿宋" w:hAnsi="仿宋" w:eastAsia="仿宋" w:cs="仿宋"/>
          <w:spacing w:val="4"/>
          <w:sz w:val="32"/>
          <w:szCs w:val="32"/>
          <w:lang w:val="en-US" w:eastAsia="zh-CN"/>
        </w:rPr>
        <w:t>2021年度一般公共预算财政拨款支出当年调整预算数1938.64万元，支出决算为1938.64万元，完成当年调整预算的100%。</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6" w:name="_Toc28951_WPSOffice_Level2"/>
      <w:bookmarkStart w:id="17" w:name="_Toc2199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年度财政拨款基本支出</w:t>
      </w:r>
      <w:r>
        <w:rPr>
          <w:rFonts w:hint="eastAsia" w:ascii="仿宋" w:hAnsi="仿宋" w:eastAsia="仿宋" w:cs="仿宋"/>
          <w:spacing w:val="4"/>
          <w:sz w:val="32"/>
          <w:szCs w:val="32"/>
          <w:lang w:val="en-US" w:eastAsia="zh-CN"/>
        </w:rPr>
        <w:t>604.25</w:t>
      </w:r>
      <w:r>
        <w:rPr>
          <w:rFonts w:hint="eastAsia" w:ascii="宋体" w:hAnsi="宋体" w:eastAsia="仿宋_GB2312" w:cs="Times New Roman"/>
          <w:sz w:val="32"/>
          <w:szCs w:val="32"/>
        </w:rPr>
        <w:t>万元，其中：人员经费</w:t>
      </w:r>
      <w:r>
        <w:rPr>
          <w:rFonts w:hint="eastAsia" w:ascii="仿宋" w:hAnsi="仿宋" w:eastAsia="仿宋" w:cs="仿宋"/>
          <w:spacing w:val="4"/>
          <w:sz w:val="32"/>
          <w:szCs w:val="32"/>
          <w:lang w:val="en-US" w:eastAsia="zh-CN"/>
        </w:rPr>
        <w:t>570.39</w:t>
      </w:r>
      <w:r>
        <w:rPr>
          <w:rFonts w:hint="eastAsia" w:ascii="宋体" w:hAnsi="宋体" w:eastAsia="仿宋_GB2312" w:cs="Times New Roman"/>
          <w:sz w:val="32"/>
          <w:szCs w:val="32"/>
        </w:rPr>
        <w:t>万元，主要包括工资福利支出</w:t>
      </w:r>
      <w:r>
        <w:rPr>
          <w:rFonts w:hint="eastAsia" w:ascii="仿宋" w:hAnsi="仿宋" w:eastAsia="仿宋" w:cs="仿宋"/>
          <w:spacing w:val="4"/>
          <w:sz w:val="32"/>
          <w:szCs w:val="32"/>
          <w:lang w:val="en-US" w:eastAsia="zh-CN"/>
        </w:rPr>
        <w:t>541.97</w:t>
      </w:r>
      <w:r>
        <w:rPr>
          <w:rFonts w:hint="eastAsia" w:ascii="宋体" w:hAnsi="宋体" w:eastAsia="仿宋_GB2312" w:cs="Times New Roman"/>
          <w:sz w:val="32"/>
          <w:szCs w:val="32"/>
        </w:rPr>
        <w:t>万元和对个人和家庭的补助</w:t>
      </w:r>
      <w:r>
        <w:rPr>
          <w:rFonts w:hint="eastAsia" w:ascii="仿宋" w:hAnsi="仿宋" w:eastAsia="仿宋" w:cs="仿宋"/>
          <w:spacing w:val="4"/>
          <w:sz w:val="32"/>
          <w:szCs w:val="32"/>
          <w:lang w:val="en-US" w:eastAsia="zh-CN"/>
        </w:rPr>
        <w:t>28.42</w:t>
      </w:r>
      <w:r>
        <w:rPr>
          <w:rFonts w:hint="eastAsia" w:ascii="宋体" w:hAnsi="宋体" w:eastAsia="仿宋_GB2312" w:cs="Times New Roman"/>
          <w:sz w:val="32"/>
          <w:szCs w:val="32"/>
        </w:rPr>
        <w:t>万元；公用经费</w:t>
      </w:r>
      <w:r>
        <w:rPr>
          <w:rFonts w:hint="eastAsia" w:ascii="宋体" w:hAnsi="宋体" w:eastAsia="仿宋_GB2312" w:cs="Times New Roman"/>
          <w:sz w:val="32"/>
          <w:szCs w:val="32"/>
          <w:lang w:val="en-US" w:eastAsia="zh-CN"/>
        </w:rPr>
        <w:t>33.87</w:t>
      </w:r>
      <w:r>
        <w:rPr>
          <w:rFonts w:hint="eastAsia" w:ascii="宋体" w:hAnsi="宋体" w:eastAsia="仿宋_GB2312" w:cs="Times New Roman"/>
          <w:sz w:val="32"/>
          <w:szCs w:val="32"/>
        </w:rPr>
        <w:t xml:space="preserve">万元，主要包括商品和服务支出 </w:t>
      </w:r>
      <w:r>
        <w:rPr>
          <w:rFonts w:hint="eastAsia" w:ascii="仿宋" w:hAnsi="仿宋" w:eastAsia="仿宋" w:cs="仿宋"/>
          <w:spacing w:val="4"/>
          <w:sz w:val="32"/>
          <w:szCs w:val="32"/>
          <w:lang w:val="en-US" w:eastAsia="zh-CN"/>
        </w:rPr>
        <w:t>33.43</w:t>
      </w:r>
      <w:r>
        <w:rPr>
          <w:rFonts w:hint="eastAsia" w:ascii="宋体" w:hAnsi="宋体" w:eastAsia="仿宋_GB2312" w:cs="Times New Roman"/>
          <w:sz w:val="32"/>
          <w:szCs w:val="32"/>
        </w:rPr>
        <w:t>万元和资本性支出</w:t>
      </w:r>
      <w:r>
        <w:rPr>
          <w:rFonts w:hint="eastAsia" w:ascii="仿宋" w:hAnsi="仿宋" w:eastAsia="仿宋" w:cs="仿宋"/>
          <w:spacing w:val="4"/>
          <w:sz w:val="32"/>
          <w:szCs w:val="32"/>
          <w:lang w:val="en-US" w:eastAsia="zh-CN"/>
        </w:rPr>
        <w:t>0.44</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ind w:firstLine="640" w:firstLineChars="200"/>
        <w:rPr>
          <w:rFonts w:ascii="宋体" w:hAnsi="宋体" w:eastAsia="仿宋_GB2312" w:cs="Times New Roman"/>
          <w:sz w:val="32"/>
          <w:szCs w:val="32"/>
        </w:rPr>
      </w:pPr>
      <w:bookmarkStart w:id="18" w:name="_Toc10214_WPSOffice_Level2"/>
      <w:bookmarkStart w:id="19" w:name="_Toc9131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年“三公”经费一般公共</w:t>
      </w:r>
      <w:r>
        <w:rPr>
          <w:rFonts w:hint="eastAsia" w:ascii="宋体" w:hAnsi="宋体" w:eastAsia="仿宋_GB2312" w:cs="Times New Roman"/>
          <w:sz w:val="32"/>
          <w:szCs w:val="32"/>
          <w:lang w:eastAsia="zh-CN"/>
        </w:rPr>
        <w:t>预算</w:t>
      </w:r>
      <w:r>
        <w:rPr>
          <w:rFonts w:hint="eastAsia" w:ascii="宋体" w:hAnsi="宋体" w:eastAsia="仿宋_GB2312" w:cs="Times New Roman"/>
          <w:sz w:val="32"/>
          <w:szCs w:val="32"/>
        </w:rPr>
        <w:t>财政拨款支出</w:t>
      </w:r>
      <w:r>
        <w:rPr>
          <w:rFonts w:hint="eastAsia" w:ascii="宋体" w:hAnsi="宋体" w:eastAsia="仿宋_GB2312" w:cs="Times New Roman"/>
          <w:sz w:val="32"/>
          <w:szCs w:val="32"/>
          <w:lang w:eastAsia="zh-CN"/>
        </w:rPr>
        <w:t>预算数</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年“三公”经费一般公共</w:t>
      </w:r>
      <w:r>
        <w:rPr>
          <w:rFonts w:hint="eastAsia" w:ascii="宋体" w:hAnsi="宋体" w:eastAsia="仿宋_GB2312" w:cs="Times New Roman"/>
          <w:sz w:val="32"/>
          <w:szCs w:val="32"/>
          <w:lang w:eastAsia="zh-CN"/>
        </w:rPr>
        <w:t>预算</w:t>
      </w:r>
      <w:r>
        <w:rPr>
          <w:rFonts w:hint="eastAsia" w:ascii="宋体" w:hAnsi="宋体" w:eastAsia="仿宋_GB2312" w:cs="Times New Roman"/>
          <w:sz w:val="32"/>
          <w:szCs w:val="32"/>
        </w:rPr>
        <w:t>财政拨款支出决算</w:t>
      </w:r>
      <w:r>
        <w:rPr>
          <w:rFonts w:hint="eastAsia" w:ascii="宋体" w:hAnsi="宋体" w:eastAsia="仿宋_GB2312" w:cs="Times New Roman"/>
          <w:sz w:val="32"/>
          <w:szCs w:val="32"/>
          <w:lang w:eastAsia="zh-CN"/>
        </w:rPr>
        <w:t>数</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与同年预算相比无增加减少</w:t>
      </w:r>
      <w:r>
        <w:rPr>
          <w:rFonts w:hint="eastAsia" w:ascii="宋体" w:hAnsi="宋体" w:eastAsia="仿宋_GB2312" w:cs="Times New Roman"/>
          <w:sz w:val="32"/>
          <w:szCs w:val="32"/>
          <w:lang w:val="en-US" w:eastAsia="zh-CN"/>
        </w:rPr>
        <w:t>，原因是从严控制和压缩“三公”经费支出</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rPr>
        <w:t>比</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w:t>
      </w:r>
      <w:r>
        <w:rPr>
          <w:rFonts w:hint="eastAsia" w:ascii="宋体" w:hAnsi="宋体" w:eastAsia="仿宋_GB2312" w:cs="Times New Roman"/>
          <w:sz w:val="32"/>
          <w:szCs w:val="32"/>
          <w:lang w:eastAsia="zh-CN"/>
        </w:rPr>
        <w:t>决算数</w:t>
      </w:r>
      <w:r>
        <w:rPr>
          <w:rFonts w:hint="eastAsia" w:ascii="仿宋" w:hAnsi="仿宋" w:eastAsia="仿宋" w:cs="仿宋"/>
          <w:spacing w:val="4"/>
          <w:sz w:val="32"/>
          <w:szCs w:val="32"/>
        </w:rPr>
        <w:t>减少</w:t>
      </w:r>
      <w:r>
        <w:rPr>
          <w:rFonts w:hint="eastAsia" w:ascii="仿宋" w:hAnsi="仿宋" w:eastAsia="仿宋" w:cs="仿宋"/>
          <w:spacing w:val="4"/>
          <w:sz w:val="32"/>
          <w:szCs w:val="32"/>
          <w:lang w:val="en-US" w:eastAsia="zh-CN"/>
        </w:rPr>
        <w:t>1</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，原因是从严控制和压缩“三公”经费支出</w:t>
      </w:r>
      <w:r>
        <w:rPr>
          <w:rFonts w:hint="eastAsia" w:ascii="宋体" w:hAnsi="宋体" w:eastAsia="仿宋_GB2312" w:cs="Times New Roman"/>
          <w:sz w:val="32"/>
          <w:szCs w:val="32"/>
        </w:rPr>
        <w:t>。其中：因公出国（境）费用</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万元，比上年</w:t>
      </w:r>
      <w:r>
        <w:rPr>
          <w:rFonts w:hint="eastAsia" w:ascii="仿宋" w:hAnsi="仿宋" w:eastAsia="仿宋" w:cs="仿宋"/>
          <w:spacing w:val="4"/>
          <w:sz w:val="32"/>
          <w:szCs w:val="32"/>
        </w:rPr>
        <w:t>减少</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万元；公务接待费</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万元，比上年</w:t>
      </w:r>
      <w:r>
        <w:rPr>
          <w:rFonts w:hint="eastAsia" w:ascii="仿宋" w:hAnsi="仿宋" w:eastAsia="仿宋" w:cs="仿宋"/>
          <w:spacing w:val="4"/>
          <w:sz w:val="32"/>
          <w:szCs w:val="32"/>
        </w:rPr>
        <w:t>减少</w:t>
      </w:r>
      <w:r>
        <w:rPr>
          <w:rFonts w:hint="eastAsia" w:ascii="仿宋" w:hAnsi="仿宋" w:eastAsia="仿宋" w:cs="仿宋"/>
          <w:spacing w:val="4"/>
          <w:sz w:val="32"/>
          <w:szCs w:val="32"/>
          <w:lang w:val="en-US" w:eastAsia="zh-CN"/>
        </w:rPr>
        <w:t>1</w:t>
      </w:r>
      <w:r>
        <w:rPr>
          <w:rFonts w:hint="eastAsia" w:ascii="宋体" w:hAnsi="宋体" w:eastAsia="仿宋_GB2312" w:cs="Times New Roman"/>
          <w:sz w:val="32"/>
          <w:szCs w:val="32"/>
        </w:rPr>
        <w:t>万元，原因是</w:t>
      </w:r>
      <w:r>
        <w:rPr>
          <w:rFonts w:hint="eastAsia" w:ascii="宋体" w:hAnsi="宋体" w:eastAsia="仿宋_GB2312" w:cs="Times New Roman"/>
          <w:sz w:val="32"/>
          <w:szCs w:val="32"/>
          <w:lang w:eastAsia="zh-CN"/>
        </w:rPr>
        <w:t>从严控制和压缩“三公”经费支出</w:t>
      </w:r>
      <w:r>
        <w:rPr>
          <w:rFonts w:hint="eastAsia" w:ascii="宋体" w:hAnsi="宋体" w:eastAsia="仿宋_GB2312" w:cs="Times New Roman"/>
          <w:sz w:val="32"/>
          <w:szCs w:val="32"/>
        </w:rPr>
        <w:t>；公务用车运行维护费</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万元，比上年</w:t>
      </w:r>
      <w:r>
        <w:rPr>
          <w:rFonts w:hint="eastAsia" w:ascii="仿宋" w:hAnsi="仿宋" w:eastAsia="仿宋" w:cs="仿宋"/>
          <w:spacing w:val="4"/>
          <w:sz w:val="32"/>
          <w:szCs w:val="32"/>
        </w:rPr>
        <w:t>减少</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rPr>
        <w:t>公务用车购置费</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万元，比上年</w:t>
      </w:r>
      <w:r>
        <w:rPr>
          <w:rFonts w:hint="eastAsia" w:ascii="仿宋" w:hAnsi="仿宋" w:eastAsia="仿宋" w:cs="仿宋"/>
          <w:spacing w:val="4"/>
          <w:sz w:val="32"/>
          <w:szCs w:val="32"/>
        </w:rPr>
        <w:t>减少</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w:t>
      </w:r>
    </w:p>
    <w:bookmarkEnd w:id="18"/>
    <w:bookmarkEnd w:id="19"/>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年政府性基金预算财政拨款本年收</w:t>
      </w:r>
      <w:r>
        <w:rPr>
          <w:rFonts w:hint="eastAsia" w:ascii="宋体" w:hAnsi="宋体" w:eastAsia="仿宋_GB2312" w:cs="Times New Roman"/>
          <w:sz w:val="32"/>
          <w:szCs w:val="32"/>
          <w:lang w:val="en-US" w:eastAsia="zh-CN"/>
        </w:rPr>
        <w:t>入50</w:t>
      </w:r>
      <w:r>
        <w:rPr>
          <w:rFonts w:hint="eastAsia" w:ascii="宋体" w:hAnsi="宋体" w:eastAsia="仿宋_GB2312" w:cs="Times New Roman"/>
          <w:sz w:val="32"/>
          <w:szCs w:val="32"/>
        </w:rPr>
        <w:t>万元，本年支出</w:t>
      </w:r>
      <w:r>
        <w:rPr>
          <w:rFonts w:hint="eastAsia" w:ascii="宋体" w:hAnsi="宋体" w:eastAsia="仿宋_GB2312" w:cs="Times New Roman"/>
          <w:sz w:val="32"/>
          <w:szCs w:val="32"/>
          <w:lang w:val="en-US" w:eastAsia="zh-CN"/>
        </w:rPr>
        <w:t>50</w:t>
      </w:r>
      <w:r>
        <w:rPr>
          <w:rFonts w:hint="eastAsia" w:ascii="宋体" w:hAnsi="宋体" w:eastAsia="仿宋_GB2312" w:cs="Times New Roman"/>
          <w:sz w:val="32"/>
          <w:szCs w:val="32"/>
        </w:rPr>
        <w:t>万元。具体支出情况如下:</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val="en-US" w:eastAsia="zh-CN"/>
        </w:rPr>
        <w:t>城乡社区支出</w:t>
      </w:r>
      <w:r>
        <w:rPr>
          <w:rFonts w:hint="eastAsia" w:ascii="宋体" w:hAnsi="宋体" w:eastAsia="仿宋_GB2312" w:cs="Times New Roman"/>
          <w:sz w:val="32"/>
          <w:szCs w:val="32"/>
        </w:rPr>
        <w:t>科目(类)</w:t>
      </w:r>
      <w:r>
        <w:rPr>
          <w:rFonts w:hint="eastAsia" w:ascii="宋体" w:hAnsi="宋体" w:eastAsia="仿宋_GB2312" w:cs="Times New Roman"/>
          <w:sz w:val="32"/>
          <w:szCs w:val="32"/>
          <w:lang w:val="en-US" w:eastAsia="zh-CN"/>
        </w:rPr>
        <w:t>国家土地使用权出让收入安排支出</w:t>
      </w:r>
      <w:r>
        <w:rPr>
          <w:rFonts w:hint="eastAsia" w:ascii="宋体" w:hAnsi="宋体" w:eastAsia="仿宋_GB2312" w:cs="Times New Roman"/>
          <w:sz w:val="32"/>
          <w:szCs w:val="32"/>
        </w:rPr>
        <w:t>科目(款)</w:t>
      </w:r>
      <w:r>
        <w:rPr>
          <w:rFonts w:hint="eastAsia" w:ascii="宋体" w:hAnsi="宋体" w:eastAsia="仿宋_GB2312" w:cs="Times New Roman"/>
          <w:sz w:val="32"/>
          <w:szCs w:val="32"/>
          <w:lang w:val="en-US" w:eastAsia="zh-CN"/>
        </w:rPr>
        <w:t>征地和拆迁补偿支出</w:t>
      </w:r>
      <w:r>
        <w:rPr>
          <w:rFonts w:hint="eastAsia" w:ascii="宋体" w:hAnsi="宋体" w:eastAsia="仿宋_GB2312" w:cs="Times New Roman"/>
          <w:sz w:val="32"/>
          <w:szCs w:val="32"/>
        </w:rPr>
        <w:t>科目(项)财政拨款支出</w:t>
      </w:r>
      <w:r>
        <w:rPr>
          <w:rFonts w:hint="eastAsia" w:ascii="宋体" w:hAnsi="宋体" w:eastAsia="仿宋_GB2312" w:cs="Times New Roman"/>
          <w:sz w:val="32"/>
          <w:szCs w:val="32"/>
          <w:lang w:val="en-US" w:eastAsia="zh-CN"/>
        </w:rPr>
        <w:t>50</w:t>
      </w:r>
      <w:r>
        <w:rPr>
          <w:rFonts w:hint="eastAsia" w:ascii="宋体" w:hAnsi="宋体" w:eastAsia="仿宋_GB2312" w:cs="Times New Roman"/>
          <w:sz w:val="32"/>
          <w:szCs w:val="32"/>
        </w:rPr>
        <w:t>万元，主要是用于</w:t>
      </w:r>
      <w:r>
        <w:rPr>
          <w:rFonts w:hint="eastAsia" w:ascii="宋体" w:hAnsi="宋体" w:eastAsia="仿宋_GB2312" w:cs="Times New Roman"/>
          <w:sz w:val="32"/>
          <w:szCs w:val="32"/>
          <w:lang w:val="en-US" w:eastAsia="zh-CN"/>
        </w:rPr>
        <w:t>征地和拆迁补偿</w:t>
      </w:r>
      <w:r>
        <w:rPr>
          <w:rFonts w:hint="eastAsia" w:ascii="宋体" w:hAnsi="宋体" w:eastAsia="仿宋_GB2312" w:cs="Times New Roman"/>
          <w:sz w:val="32"/>
          <w:szCs w:val="32"/>
        </w:rPr>
        <w:t>。</w:t>
      </w:r>
    </w:p>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单位机关运行经费支出</w:t>
      </w:r>
      <w:r>
        <w:rPr>
          <w:rFonts w:hint="eastAsia" w:ascii="宋体" w:hAnsi="宋体" w:eastAsia="仿宋_GB2312" w:cs="Times New Roman"/>
          <w:sz w:val="32"/>
          <w:szCs w:val="32"/>
          <w:lang w:val="en-US" w:eastAsia="zh-CN"/>
        </w:rPr>
        <w:t>33.87</w:t>
      </w:r>
      <w:r>
        <w:rPr>
          <w:rFonts w:hint="eastAsia" w:ascii="宋体" w:hAnsi="宋体" w:eastAsia="仿宋_GB2312" w:cs="Times New Roman"/>
          <w:sz w:val="32"/>
          <w:szCs w:val="32"/>
        </w:rPr>
        <w:t>万元，比</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年减少</w:t>
      </w:r>
      <w:r>
        <w:rPr>
          <w:rFonts w:hint="eastAsia" w:ascii="宋体" w:hAnsi="宋体" w:eastAsia="仿宋_GB2312" w:cs="Times New Roman"/>
          <w:sz w:val="32"/>
          <w:szCs w:val="32"/>
          <w:lang w:val="en-US" w:eastAsia="zh-CN"/>
        </w:rPr>
        <w:t>348.15</w:t>
      </w:r>
      <w:r>
        <w:rPr>
          <w:rFonts w:hint="eastAsia" w:ascii="宋体" w:hAnsi="宋体" w:eastAsia="仿宋_GB2312" w:cs="Times New Roman"/>
          <w:sz w:val="32"/>
          <w:szCs w:val="32"/>
        </w:rPr>
        <w:t>万元，降</w:t>
      </w:r>
      <w:r>
        <w:rPr>
          <w:rFonts w:hint="eastAsia" w:ascii="宋体" w:hAnsi="宋体" w:eastAsia="仿宋_GB2312" w:cs="Times New Roman"/>
          <w:sz w:val="32"/>
          <w:szCs w:val="32"/>
          <w:lang w:val="en-US" w:eastAsia="zh-CN"/>
        </w:rPr>
        <w:t>低91.13</w:t>
      </w:r>
      <w:r>
        <w:rPr>
          <w:rFonts w:hint="eastAsia" w:ascii="宋体" w:hAnsi="宋体" w:eastAsia="仿宋_GB2312" w:cs="Times New Roman"/>
          <w:sz w:val="32"/>
          <w:szCs w:val="32"/>
        </w:rPr>
        <w:t>%，主要原因</w:t>
      </w:r>
      <w:r>
        <w:rPr>
          <w:rFonts w:hint="eastAsia" w:ascii="宋体" w:hAnsi="宋体" w:eastAsia="仿宋_GB2312" w:cs="Times New Roman"/>
          <w:sz w:val="32"/>
          <w:szCs w:val="32"/>
          <w:lang w:val="en-US" w:eastAsia="zh-CN"/>
        </w:rPr>
        <w:t>是</w:t>
      </w:r>
      <w:r>
        <w:rPr>
          <w:rFonts w:hint="eastAsia" w:ascii="宋体" w:hAnsi="宋体" w:eastAsia="仿宋_GB2312" w:cs="Times New Roman"/>
          <w:color w:val="000000" w:themeColor="text1"/>
          <w:sz w:val="32"/>
          <w:szCs w:val="32"/>
          <w:lang w:eastAsia="zh-CN"/>
          <w14:textFill>
            <w14:solidFill>
              <w14:schemeClr w14:val="tx1"/>
            </w14:solidFill>
          </w14:textFill>
        </w:rPr>
        <w:t>移除村级运转办公费</w:t>
      </w:r>
      <w:r>
        <w:rPr>
          <w:rFonts w:hint="eastAsia" w:ascii="宋体" w:hAnsi="宋体" w:eastAsia="仿宋_GB2312" w:cs="Times New Roman"/>
          <w:color w:val="000000" w:themeColor="text1"/>
          <w:sz w:val="32"/>
          <w:szCs w:val="32"/>
          <w14:textFill>
            <w14:solidFill>
              <w14:schemeClr w14:val="tx1"/>
            </w14:solidFill>
          </w14:textFill>
        </w:rPr>
        <w:t>。</w:t>
      </w:r>
    </w:p>
    <w:p>
      <w:pPr>
        <w:numPr>
          <w:ilvl w:val="0"/>
          <w:numId w:val="4"/>
        </w:numPr>
        <w:spacing w:line="204" w:lineRule="auto"/>
        <w:jc w:val="left"/>
        <w:rPr>
          <w:rFonts w:hint="eastAsia" w:ascii="楷体" w:hAnsi="楷体" w:eastAsia="楷体" w:cs="楷体"/>
          <w:spacing w:val="-3"/>
          <w:sz w:val="32"/>
          <w:szCs w:val="32"/>
        </w:rPr>
      </w:pPr>
      <w:r>
        <w:rPr>
          <w:rFonts w:hint="eastAsia" w:ascii="楷体" w:hAnsi="楷体" w:eastAsia="楷体" w:cs="楷体"/>
          <w:spacing w:val="-3"/>
          <w:sz w:val="32"/>
          <w:szCs w:val="32"/>
        </w:rPr>
        <w:t>政府采购支出情况</w:t>
      </w:r>
    </w:p>
    <w:p>
      <w:pPr>
        <w:pStyle w:val="2"/>
        <w:numPr>
          <w:ilvl w:val="0"/>
          <w:numId w:val="0"/>
        </w:numPr>
        <w:ind w:firstLine="640" w:firstLineChars="200"/>
      </w:pPr>
      <w:r>
        <w:rPr>
          <w:rFonts w:hint="eastAsia" w:ascii="宋体" w:hAnsi="宋体" w:eastAsia="仿宋_GB2312" w:cs="Times New Roman"/>
          <w:kern w:val="2"/>
          <w:sz w:val="32"/>
          <w:szCs w:val="32"/>
          <w:lang w:val="en-US" w:eastAsia="zh-CN" w:bidi="ar-SA"/>
        </w:rPr>
        <w:t>2021年本单位无政府采购业务支出情况</w:t>
      </w:r>
      <w:r>
        <w:rPr>
          <w:rFonts w:hint="eastAsia" w:ascii="宋体" w:hAnsi="宋体"/>
          <w:sz w:val="32"/>
          <w:szCs w:val="32"/>
        </w:rPr>
        <w:t>。</w:t>
      </w:r>
    </w:p>
    <w:p>
      <w:pPr>
        <w:numPr>
          <w:ilvl w:val="0"/>
          <w:numId w:val="5"/>
        </w:numPr>
        <w:spacing w:line="204" w:lineRule="auto"/>
        <w:jc w:val="left"/>
        <w:rPr>
          <w:rFonts w:hint="eastAsia" w:ascii="楷体" w:hAnsi="楷体" w:eastAsia="楷体" w:cs="楷体"/>
          <w:spacing w:val="-3"/>
          <w:sz w:val="32"/>
          <w:szCs w:val="32"/>
        </w:rPr>
      </w:pPr>
      <w:r>
        <w:rPr>
          <w:rFonts w:hint="eastAsia" w:ascii="楷体" w:hAnsi="楷体" w:eastAsia="楷体" w:cs="楷体"/>
          <w:spacing w:val="-3"/>
          <w:sz w:val="32"/>
          <w:szCs w:val="32"/>
        </w:rPr>
        <w:t>国有资产占有情况</w:t>
      </w:r>
    </w:p>
    <w:p>
      <w:pPr>
        <w:ind w:firstLine="640" w:firstLineChars="200"/>
      </w:pPr>
      <w:r>
        <w:rPr>
          <w:rFonts w:hint="eastAsia" w:ascii="宋体" w:hAnsi="宋体" w:eastAsia="仿宋_GB2312" w:cs="Times New Roman"/>
          <w:sz w:val="32"/>
          <w:szCs w:val="32"/>
        </w:rPr>
        <w:t>截至2021年12月31日，本单价无国有资产占用情况。</w:t>
      </w:r>
    </w:p>
    <w:p>
      <w:pPr>
        <w:numPr>
          <w:ilvl w:val="0"/>
          <w:numId w:val="6"/>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spacing w:line="204" w:lineRule="auto"/>
        <w:ind w:firstLine="620" w:firstLineChars="200"/>
        <w:jc w:val="left"/>
        <w:rPr>
          <w:rFonts w:hint="eastAsia" w:ascii="仿宋_GB2312" w:hAnsi="仿宋_GB2312" w:eastAsia="仿宋_GB2312" w:cs="仿宋_GB2312"/>
          <w:color w:val="000000"/>
          <w:kern w:val="0"/>
          <w:sz w:val="31"/>
          <w:szCs w:val="31"/>
          <w:lang w:bidi="ar"/>
        </w:rPr>
      </w:pPr>
      <w:r>
        <w:rPr>
          <w:rFonts w:hint="eastAsia" w:ascii="仿宋_GB2312" w:hAnsi="仿宋_GB2312" w:eastAsia="仿宋_GB2312" w:cs="仿宋_GB2312"/>
          <w:color w:val="000000"/>
          <w:kern w:val="0"/>
          <w:sz w:val="31"/>
          <w:szCs w:val="31"/>
          <w:lang w:bidi="ar"/>
        </w:rPr>
        <w:t>我单位本年未开展绩效管理工作。</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bookmarkStart w:id="20" w:name="_Toc32537"/>
      <w:bookmarkStart w:id="21" w:name="_Toc8549_WPSOffice_Level1"/>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0"/>
      <w:bookmarkEnd w:id="21"/>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w:t>
      </w:r>
      <w:r>
        <w:rPr>
          <w:rFonts w:hint="eastAsia" w:ascii="仿宋" w:hAnsi="仿宋" w:eastAsia="仿宋" w:cs="仿宋"/>
          <w:spacing w:val="4"/>
          <w:sz w:val="32"/>
          <w:szCs w:val="32"/>
          <w:lang w:eastAsia="zh-CN"/>
        </w:rPr>
        <w:t>拨</w:t>
      </w:r>
      <w:r>
        <w:rPr>
          <w:rFonts w:hint="eastAsia" w:ascii="仿宋" w:hAnsi="仿宋" w:eastAsia="仿宋" w:cs="仿宋"/>
          <w:spacing w:val="4"/>
          <w:sz w:val="32"/>
          <w:szCs w:val="32"/>
        </w:rPr>
        <w:t>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237D61"/>
    <w:multiLevelType w:val="singleLevel"/>
    <w:tmpl w:val="01237D61"/>
    <w:lvl w:ilvl="0" w:tentative="0">
      <w:start w:val="3"/>
      <w:numFmt w:val="decimal"/>
      <w:suff w:val="nothing"/>
      <w:lvlText w:val="%1、"/>
      <w:lvlJc w:val="left"/>
    </w:lvl>
  </w:abstractNum>
  <w:abstractNum w:abstractNumId="1">
    <w:nsid w:val="0CAE0828"/>
    <w:multiLevelType w:val="singleLevel"/>
    <w:tmpl w:val="0CAE0828"/>
    <w:lvl w:ilvl="0" w:tentative="0">
      <w:start w:val="8"/>
      <w:numFmt w:val="chineseCounting"/>
      <w:suff w:val="nothing"/>
      <w:lvlText w:val="%1、"/>
      <w:lvlJc w:val="left"/>
      <w:rPr>
        <w:rFonts w:hint="eastAsia"/>
      </w:rPr>
    </w:lvl>
  </w:abstractNum>
  <w:abstractNum w:abstractNumId="2">
    <w:nsid w:val="32CD2E15"/>
    <w:multiLevelType w:val="singleLevel"/>
    <w:tmpl w:val="32CD2E15"/>
    <w:lvl w:ilvl="0" w:tentative="0">
      <w:start w:val="1"/>
      <w:numFmt w:val="chineseCounting"/>
      <w:suff w:val="nothing"/>
      <w:lvlText w:val="（%1）"/>
      <w:lvlJc w:val="left"/>
      <w:rPr>
        <w:rFonts w:hint="eastAsia"/>
      </w:rPr>
    </w:lvl>
  </w:abstractNum>
  <w:abstractNum w:abstractNumId="3">
    <w:nsid w:val="40B6F801"/>
    <w:multiLevelType w:val="singleLevel"/>
    <w:tmpl w:val="40B6F801"/>
    <w:lvl w:ilvl="0" w:tentative="0">
      <w:start w:val="4"/>
      <w:numFmt w:val="decimal"/>
      <w:lvlText w:val="%1."/>
      <w:lvlJc w:val="left"/>
      <w:pPr>
        <w:tabs>
          <w:tab w:val="left" w:pos="312"/>
        </w:tabs>
      </w:pPr>
    </w:lvl>
  </w:abstractNum>
  <w:abstractNum w:abstractNumId="4">
    <w:nsid w:val="48635CCE"/>
    <w:multiLevelType w:val="singleLevel"/>
    <w:tmpl w:val="48635CCE"/>
    <w:lvl w:ilvl="0" w:tentative="0">
      <w:start w:val="2"/>
      <w:numFmt w:val="decimal"/>
      <w:lvlText w:val="%1."/>
      <w:lvlJc w:val="left"/>
      <w:pPr>
        <w:tabs>
          <w:tab w:val="left" w:pos="312"/>
        </w:tabs>
      </w:pPr>
    </w:lvl>
  </w:abstractNum>
  <w:abstractNum w:abstractNumId="5">
    <w:nsid w:val="6AF4BF66"/>
    <w:multiLevelType w:val="singleLevel"/>
    <w:tmpl w:val="6AF4BF66"/>
    <w:lvl w:ilvl="0" w:tentative="0">
      <w:start w:val="1"/>
      <w:numFmt w:val="chineseCounting"/>
      <w:suff w:val="nothing"/>
      <w:lvlText w:val="%1、"/>
      <w:lvlJc w:val="left"/>
      <w:rPr>
        <w:rFonts w:hint="eastAsia"/>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3F0B7D"/>
    <w:rsid w:val="000014A7"/>
    <w:rsid w:val="00052B5B"/>
    <w:rsid w:val="00774AFB"/>
    <w:rsid w:val="00E4217F"/>
    <w:rsid w:val="01666171"/>
    <w:rsid w:val="05C17055"/>
    <w:rsid w:val="0A283661"/>
    <w:rsid w:val="0AFB126B"/>
    <w:rsid w:val="0B836C01"/>
    <w:rsid w:val="0BC016D4"/>
    <w:rsid w:val="0E115DFD"/>
    <w:rsid w:val="11D27EAE"/>
    <w:rsid w:val="11F779EA"/>
    <w:rsid w:val="13FC79DF"/>
    <w:rsid w:val="14802A48"/>
    <w:rsid w:val="16082A37"/>
    <w:rsid w:val="17376A0E"/>
    <w:rsid w:val="183B55C6"/>
    <w:rsid w:val="18D70459"/>
    <w:rsid w:val="19604A8B"/>
    <w:rsid w:val="19D75848"/>
    <w:rsid w:val="1B4B5AEB"/>
    <w:rsid w:val="1C1A2C25"/>
    <w:rsid w:val="1F9F5048"/>
    <w:rsid w:val="20D97C1B"/>
    <w:rsid w:val="219B795E"/>
    <w:rsid w:val="2210681E"/>
    <w:rsid w:val="228E430B"/>
    <w:rsid w:val="22CF03F3"/>
    <w:rsid w:val="2318340F"/>
    <w:rsid w:val="23553F43"/>
    <w:rsid w:val="24A44900"/>
    <w:rsid w:val="298F3B09"/>
    <w:rsid w:val="299664C8"/>
    <w:rsid w:val="2C31616B"/>
    <w:rsid w:val="2DDE0709"/>
    <w:rsid w:val="2E4E1CC5"/>
    <w:rsid w:val="33FC6BB1"/>
    <w:rsid w:val="3B5F57B8"/>
    <w:rsid w:val="3F28132A"/>
    <w:rsid w:val="3F7A1A05"/>
    <w:rsid w:val="41B2176C"/>
    <w:rsid w:val="42440D16"/>
    <w:rsid w:val="43232074"/>
    <w:rsid w:val="472121BF"/>
    <w:rsid w:val="49221B6F"/>
    <w:rsid w:val="4A5D330F"/>
    <w:rsid w:val="4BB30CD3"/>
    <w:rsid w:val="4C4B677C"/>
    <w:rsid w:val="4EA50729"/>
    <w:rsid w:val="51F94F3B"/>
    <w:rsid w:val="521F4358"/>
    <w:rsid w:val="524C4742"/>
    <w:rsid w:val="527E6AD5"/>
    <w:rsid w:val="53162A13"/>
    <w:rsid w:val="54935C2C"/>
    <w:rsid w:val="55920CB6"/>
    <w:rsid w:val="56B41FC2"/>
    <w:rsid w:val="572F0D56"/>
    <w:rsid w:val="583C654E"/>
    <w:rsid w:val="598952D7"/>
    <w:rsid w:val="5C6138A3"/>
    <w:rsid w:val="5CE11B48"/>
    <w:rsid w:val="5D8F024D"/>
    <w:rsid w:val="5F1F533B"/>
    <w:rsid w:val="5FF52248"/>
    <w:rsid w:val="62CC1552"/>
    <w:rsid w:val="648B65A3"/>
    <w:rsid w:val="6544153D"/>
    <w:rsid w:val="66472822"/>
    <w:rsid w:val="66783B12"/>
    <w:rsid w:val="67A92535"/>
    <w:rsid w:val="68CD37BD"/>
    <w:rsid w:val="68D01454"/>
    <w:rsid w:val="691B1082"/>
    <w:rsid w:val="697666F9"/>
    <w:rsid w:val="6A1F777D"/>
    <w:rsid w:val="6BFF416F"/>
    <w:rsid w:val="6C35148F"/>
    <w:rsid w:val="6C940C35"/>
    <w:rsid w:val="6DD9053E"/>
    <w:rsid w:val="6F5B7969"/>
    <w:rsid w:val="6FAE2F10"/>
    <w:rsid w:val="7421632A"/>
    <w:rsid w:val="75954993"/>
    <w:rsid w:val="776C584A"/>
    <w:rsid w:val="77910B33"/>
    <w:rsid w:val="7BDE390B"/>
    <w:rsid w:val="7DB3786A"/>
    <w:rsid w:val="7DE9691A"/>
    <w:rsid w:val="7E3F0B7D"/>
    <w:rsid w:val="7F324C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2856</Words>
  <Characters>709</Characters>
  <Lines>5</Lines>
  <Paragraphs>7</Paragraphs>
  <TotalTime>15</TotalTime>
  <ScaleCrop>false</ScaleCrop>
  <LinksUpToDate>false</LinksUpToDate>
  <CharactersWithSpaces>3558</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xtb</cp:lastModifiedBy>
  <cp:lastPrinted>2022-09-20T08:44:00Z</cp:lastPrinted>
  <dcterms:modified xsi:type="dcterms:W3CDTF">2022-09-27T03:42:12Z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351F26473D1446898D3D570C95093AA8</vt:lpwstr>
  </property>
</Properties>
</file>