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朔州市朔城区下团堡乡人民政府</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1、认真贯彻执行党的路线、方针、政策和国家的法律、法规。执行上级党委、政府的决定和命令以及本级人民代表大会的决议。贯彻落实区委、区政府的重大决策和重要部署。</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2、制定并组织实施本乡社会和经济发展规划。组织和指导本行政区域内的教育、科学、文化、卫生、计生等各项事业的发展，做好财政、民政、公安、司法、国土资源、统计等各项工作。</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3、依法依规合理安排本级财政支出，管好用好财政资金，完成本级财政计划。</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4、定期向本级党委、人民代表大会报告工作。组织指导好各业生产，指导各村民委员会的工作，抓好基层政权建设、乡村建设和精神文明建设，促进本乡各项社会事业的健康发展。</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5、保护公民个人所有的合法财产和群众集体所有财产。维护本区域一切单位和个人的正当合法权益，保障公民的人身权利、民主权利和其他权利。加强社会治安综合治理，处理好各种利益矛盾，维护本行政区域社会稳定。</w:t>
      </w:r>
    </w:p>
    <w:p>
      <w:pPr>
        <w:ind w:firstLine="960" w:firstLineChars="300"/>
        <w:rPr>
          <w:rFonts w:ascii="仿宋" w:hAnsi="仿宋" w:eastAsia="仿宋" w:cs="仿宋"/>
          <w:sz w:val="32"/>
          <w:szCs w:val="32"/>
        </w:rPr>
      </w:pPr>
      <w:r>
        <w:rPr>
          <w:rFonts w:hint="eastAsia" w:ascii="仿宋" w:hAnsi="仿宋" w:eastAsia="仿宋" w:cs="仿宋"/>
          <w:sz w:val="32"/>
          <w:szCs w:val="32"/>
        </w:rPr>
        <w:t xml:space="preserve">6、完成上级党委、政府下达的其他各项工作任务。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仿宋" w:hAnsi="仿宋" w:eastAsia="仿宋" w:cs="仿宋"/>
          <w:sz w:val="32"/>
          <w:szCs w:val="32"/>
        </w:rPr>
        <w:t>我单位属一级基层政权组织，为行政机关，是一级预算单位。内设机构有：综合办公室、社会事务办公室、财政所、经管站、统计站、水管站、农技站、林业站、退役军人事务站、计生办、便民服务中心。本行政区域有30个村民委员会。从预算单位构成看，本单位部门决算只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1988.64</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1988.64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585.97</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585.97</w:t>
      </w:r>
      <w:r>
        <w:rPr>
          <w:rFonts w:ascii="仿宋" w:hAnsi="仿宋" w:eastAsia="仿宋" w:cs="仿宋"/>
          <w:spacing w:val="-34"/>
          <w:sz w:val="32"/>
          <w:szCs w:val="32"/>
        </w:rPr>
        <w:t xml:space="preserve"> </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1.新增2021年产粮大县中央奖励资金；2.新增下团堡乡农村改厕资金项目；3.新增2021年煤改气居民取暖补贴资金；4.新增下团堡乡疫情防控资金；5.新增节能环保支出；6.新增社会保障和就业支出。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1988.64</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1988.64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1988.64</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604.25</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1384.39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1988.64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1988.64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585.97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41</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1.新增2021年产粮大县中央奖励资金；2.新增下团堡乡农村改厕资金项目；3.新增2021年煤改气居民取暖补贴资金；4.新增下团堡乡疫情防控资金；5.新增节能环保支出；6.新增社会保障和就业支出。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val="en-US" w:eastAsia="zh-CN"/>
        </w:rPr>
        <w:t>2021 年度财政拨款支出1938.64万元，</w:t>
      </w:r>
      <w:r>
        <w:rPr>
          <w:rFonts w:hint="eastAsia" w:ascii="宋体" w:hAnsi="宋体" w:eastAsia="仿宋_GB2312" w:cs="Times New Roman"/>
          <w:sz w:val="32"/>
          <w:szCs w:val="32"/>
        </w:rPr>
        <w:t xml:space="preserve">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535.97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1.新增2021年产粮大县中央奖励资金；2.新增下团堡乡农村改厕资金项目；3.新增2021年煤改气居民取暖补贴资金；4.新增下团堡乡疫情防控资金；5.新增节能环保支出；6.新增社会保障和就业支出。</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204" w:lineRule="auto"/>
        <w:ind w:firstLine="667"/>
        <w:jc w:val="left"/>
        <w:rPr>
          <w:rFonts w:hint="default" w:ascii="宋体" w:hAnsi="宋体" w:eastAsia="仿宋_GB2312" w:cs="Times New Roman"/>
          <w:sz w:val="32"/>
          <w:szCs w:val="32"/>
          <w:lang w:val="en-US" w:eastAsia="zh-CN"/>
        </w:rPr>
      </w:pPr>
      <w:bookmarkStart w:id="14" w:name="_Toc27424_WPSOffice_Level2"/>
      <w:bookmarkStart w:id="15" w:name="_Toc1066_WPSOffice_Level2"/>
      <w:r>
        <w:rPr>
          <w:rFonts w:hint="eastAsia" w:ascii="宋体" w:hAnsi="宋体" w:eastAsia="仿宋_GB2312" w:cs="Times New Roman"/>
          <w:sz w:val="32"/>
          <w:szCs w:val="32"/>
          <w:lang w:val="en-US" w:eastAsia="zh-CN"/>
        </w:rPr>
        <w:t>2021 年度财政拨款支出1938.64万元，主要用于以下方面：2010301</w:t>
      </w:r>
      <w:r>
        <w:rPr>
          <w:rFonts w:hint="eastAsia" w:ascii="宋体" w:hAnsi="宋体" w:eastAsia="仿宋_GB2312" w:cs="Times New Roman"/>
          <w:sz w:val="32"/>
          <w:szCs w:val="32"/>
          <w:lang w:val="en-US" w:eastAsia="zh-CN"/>
        </w:rPr>
        <w:tab/>
      </w:r>
      <w:r>
        <w:rPr>
          <w:rFonts w:hint="eastAsia" w:ascii="宋体" w:hAnsi="宋体" w:eastAsia="仿宋_GB2312" w:cs="Times New Roman"/>
          <w:sz w:val="32"/>
          <w:szCs w:val="32"/>
          <w:lang w:val="en-US" w:eastAsia="zh-CN"/>
        </w:rPr>
        <w:t>行政运行科目类支出515.88万元，占26.61%；2010302一般行政管理事务科目类支出256.50万元，占13.23%；2040602一般行政管理事务科目类支出0.40万元，占0.02%；2070102一般行政管理事务科目类支出0.20万元，占0.01%；2070802一般行政管理事务科目类支出0.60万元，占0.03%；2080801死亡抚恤科目类支出23.10万元，占1.19%；2080802伤残抚恤科目类支出24.12万元，占1.24%；2080803在乡复员、退伍军人生活补助科目类支出45.36万元，占2.33%；2080805义务兵优待科目类支出64.70万元，占3.33%；2080806农村籍退役士兵老年生活补助科目类支出16.77万元，占0.87%；2082102农村特困人员救助供养科目类支出77.88万元，占4.01%；2082502其他农村生活救助科目类支出0.30万元，占0.02%；2100302乡镇卫生院科目类支出12.30万元，占0.63%；2100410突发公共卫生事件应急处理科目类支出40.00万元，占2.06%；2110301大气科目类支出54.77万元，占2.82%；2120801征地和拆迁补偿科目类支出50.00万元，占2.58%；2130126农村社会事业科目类支出10.50万元，占0.54%；02130199其他农业农村科目类支出291.06万元，占15.01%；2130701对村级一事一议的补助科目类支出90.00万元，占4.64%；2130705对村民委员会和村党支部的补助科目类支出8.20万元，占0.42%；2130706对村集体经济组织的补助科目类支出366.00万元，占18.87%。2200106自然资源利用与保护科目类支出40.00万元，占2.06%。</w:t>
      </w:r>
      <w:bookmarkStart w:id="22" w:name="_GoBack"/>
      <w:bookmarkEnd w:id="22"/>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56" w:firstLineChars="200"/>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2021年度一般公共预算财政拨款支出当年调整预算数1938.64万元，支出决算为1938.64万元，完成当年调整预算的100%。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604.25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570.39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541.97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28.42</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33.87</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33.43</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0.44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与同年预算相比无增加减少</w:t>
      </w:r>
      <w:r>
        <w:rPr>
          <w:rFonts w:hint="eastAsia" w:ascii="宋体" w:hAnsi="宋体" w:eastAsia="仿宋_GB2312" w:cs="Times New Roman"/>
          <w:sz w:val="32"/>
          <w:szCs w:val="32"/>
          <w:lang w:val="en-US" w:eastAsia="zh-CN"/>
        </w:rPr>
        <w:t>，原因是从严控制和压缩“三公”经费支出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，原因是从严控制和压缩“三公”经费支出</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1</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从严控制和压缩“三公”经费支出</w:t>
      </w:r>
      <w:r>
        <w:rPr>
          <w:rFonts w:hint="eastAsia" w:ascii="宋体" w:hAnsi="宋体" w:eastAsia="仿宋_GB2312" w:cs="Times New Roman"/>
          <w:sz w:val="32"/>
          <w:szCs w:val="32"/>
        </w:rPr>
        <w:t>；公务用车运行维护费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w:t>
      </w:r>
      <w:r>
        <w:rPr>
          <w:rFonts w:hint="eastAsia" w:ascii="宋体" w:hAnsi="宋体" w:eastAsia="仿宋_GB2312" w:cs="Times New Roman"/>
          <w:sz w:val="32"/>
          <w:szCs w:val="32"/>
          <w:lang w:val="en-US" w:eastAsia="zh-CN"/>
        </w:rPr>
        <w:t>入50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50</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城乡社区支出</w:t>
      </w:r>
      <w:r>
        <w:rPr>
          <w:rFonts w:hint="eastAsia" w:ascii="宋体" w:hAnsi="宋体" w:eastAsia="仿宋_GB2312" w:cs="Times New Roman"/>
          <w:sz w:val="32"/>
          <w:szCs w:val="32"/>
        </w:rPr>
        <w:t>科目(类)</w:t>
      </w:r>
      <w:r>
        <w:rPr>
          <w:rFonts w:hint="eastAsia" w:ascii="宋体" w:hAnsi="宋体" w:eastAsia="仿宋_GB2312" w:cs="Times New Roman"/>
          <w:sz w:val="32"/>
          <w:szCs w:val="32"/>
          <w:lang w:val="en-US" w:eastAsia="zh-CN"/>
        </w:rPr>
        <w:t>国家土地使用权出让收入安排支出</w:t>
      </w:r>
      <w:r>
        <w:rPr>
          <w:rFonts w:hint="eastAsia" w:ascii="宋体" w:hAnsi="宋体" w:eastAsia="仿宋_GB2312" w:cs="Times New Roman"/>
          <w:sz w:val="32"/>
          <w:szCs w:val="32"/>
        </w:rPr>
        <w:t>科目(款)</w:t>
      </w:r>
      <w:r>
        <w:rPr>
          <w:rFonts w:hint="eastAsia" w:ascii="宋体" w:hAnsi="宋体" w:eastAsia="仿宋_GB2312" w:cs="Times New Roman"/>
          <w:sz w:val="32"/>
          <w:szCs w:val="32"/>
          <w:lang w:val="en-US" w:eastAsia="zh-CN"/>
        </w:rPr>
        <w:t>征地和拆迁补偿支出</w:t>
      </w:r>
      <w:r>
        <w:rPr>
          <w:rFonts w:hint="eastAsia" w:ascii="宋体" w:hAnsi="宋体" w:eastAsia="仿宋_GB2312" w:cs="Times New Roman"/>
          <w:sz w:val="32"/>
          <w:szCs w:val="32"/>
        </w:rPr>
        <w:t>科目(项)财政拨款支出</w:t>
      </w:r>
      <w:r>
        <w:rPr>
          <w:rFonts w:hint="eastAsia" w:ascii="宋体" w:hAnsi="宋体" w:eastAsia="仿宋_GB2312" w:cs="Times New Roman"/>
          <w:sz w:val="32"/>
          <w:szCs w:val="32"/>
          <w:lang w:val="en-US" w:eastAsia="zh-CN"/>
        </w:rPr>
        <w:t>50</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val="en-US" w:eastAsia="zh-CN"/>
        </w:rPr>
        <w:t>征地和拆迁补偿</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33.87</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348.15</w:t>
      </w:r>
      <w:r>
        <w:rPr>
          <w:rFonts w:hint="eastAsia" w:ascii="宋体" w:hAnsi="宋体" w:eastAsia="仿宋_GB2312" w:cs="Times New Roman"/>
          <w:sz w:val="32"/>
          <w:szCs w:val="32"/>
        </w:rPr>
        <w:t>万元，降</w:t>
      </w:r>
      <w:r>
        <w:rPr>
          <w:rFonts w:hint="eastAsia" w:ascii="宋体" w:hAnsi="宋体" w:eastAsia="仿宋_GB2312" w:cs="Times New Roman"/>
          <w:sz w:val="32"/>
          <w:szCs w:val="32"/>
          <w:lang w:val="en-US" w:eastAsia="zh-CN"/>
        </w:rPr>
        <w:t>低91.13</w:t>
      </w:r>
      <w:r>
        <w:rPr>
          <w:rFonts w:hint="eastAsia" w:ascii="宋体" w:hAnsi="宋体" w:eastAsia="仿宋_GB2312" w:cs="Times New Roman"/>
          <w:sz w:val="32"/>
          <w:szCs w:val="32"/>
        </w:rPr>
        <w:t>%，主要原因</w:t>
      </w:r>
      <w:r>
        <w:rPr>
          <w:rFonts w:hint="eastAsia" w:ascii="宋体" w:hAnsi="宋体" w:eastAsia="仿宋_GB2312" w:cs="Times New Roman"/>
          <w:sz w:val="32"/>
          <w:szCs w:val="32"/>
          <w:lang w:val="en-US" w:eastAsia="zh-CN"/>
        </w:rPr>
        <w:t>是</w:t>
      </w:r>
      <w:r>
        <w:rPr>
          <w:rFonts w:hint="eastAsia" w:ascii="宋体" w:hAnsi="宋体" w:eastAsia="仿宋_GB2312" w:cs="Times New Roman"/>
          <w:color w:val="000000" w:themeColor="text1"/>
          <w:sz w:val="32"/>
          <w:szCs w:val="32"/>
          <w:lang w:eastAsia="zh-CN"/>
          <w14:textFill>
            <w14:solidFill>
              <w14:schemeClr w14:val="tx1"/>
            </w14:solidFill>
          </w14:textFill>
        </w:rPr>
        <w:t>移除村级运转办公费</w:t>
      </w:r>
      <w:r>
        <w:rPr>
          <w:rFonts w:hint="eastAsia" w:ascii="宋体" w:hAnsi="宋体" w:eastAsia="仿宋_GB2312" w:cs="Times New Roman"/>
          <w:color w:val="000000" w:themeColor="text1"/>
          <w:sz w:val="32"/>
          <w:szCs w:val="32"/>
          <w14:textFill>
            <w14:solidFill>
              <w14:schemeClr w14:val="tx1"/>
            </w14:solidFill>
          </w14:textFill>
        </w:rPr>
        <w:t>。</w:t>
      </w:r>
    </w:p>
    <w:p>
      <w:pPr>
        <w:numPr>
          <w:ilvl w:val="0"/>
          <w:numId w:val="4"/>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政府采购支出情况</w:t>
      </w:r>
    </w:p>
    <w:p>
      <w:pPr>
        <w:pStyle w:val="2"/>
        <w:numPr>
          <w:ilvl w:val="0"/>
          <w:numId w:val="0"/>
        </w:numPr>
        <w:ind w:firstLine="640" w:firstLineChars="200"/>
      </w:pPr>
      <w:r>
        <w:rPr>
          <w:rFonts w:hint="eastAsia" w:ascii="宋体" w:hAnsi="宋体" w:eastAsia="仿宋_GB2312" w:cs="Times New Roman"/>
          <w:kern w:val="2"/>
          <w:sz w:val="32"/>
          <w:szCs w:val="32"/>
          <w:lang w:val="en-US" w:eastAsia="zh-CN" w:bidi="ar-SA"/>
        </w:rPr>
        <w:t>2021年本单位无政府采购业务支出情况</w:t>
      </w:r>
      <w:r>
        <w:rPr>
          <w:rFonts w:hint="eastAsia" w:ascii="宋体" w:hAnsi="宋体"/>
          <w:sz w:val="32"/>
          <w:szCs w:val="32"/>
        </w:rPr>
        <w:t>。</w:t>
      </w:r>
    </w:p>
    <w:p>
      <w:pPr>
        <w:numPr>
          <w:ilvl w:val="0"/>
          <w:numId w:val="5"/>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国有资产占有情况</w:t>
      </w:r>
    </w:p>
    <w:p>
      <w:pPr>
        <w:ind w:firstLine="640" w:firstLineChars="200"/>
      </w:pPr>
      <w:r>
        <w:rPr>
          <w:rFonts w:hint="eastAsia" w:ascii="宋体" w:hAnsi="宋体" w:eastAsia="仿宋_GB2312" w:cs="Times New Roman"/>
          <w:sz w:val="32"/>
          <w:szCs w:val="32"/>
        </w:rPr>
        <w:t>截至2021年12月31日，本单价无国有资产占用情况。</w:t>
      </w:r>
    </w:p>
    <w:p>
      <w:pPr>
        <w:numPr>
          <w:ilvl w:val="0"/>
          <w:numId w:val="6"/>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spacing w:line="204" w:lineRule="auto"/>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7D61"/>
    <w:multiLevelType w:val="singleLevel"/>
    <w:tmpl w:val="01237D61"/>
    <w:lvl w:ilvl="0" w:tentative="0">
      <w:start w:val="3"/>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48635CCE"/>
    <w:multiLevelType w:val="singleLevel"/>
    <w:tmpl w:val="48635CCE"/>
    <w:lvl w:ilvl="0" w:tentative="0">
      <w:start w:val="2"/>
      <w:numFmt w:val="decimal"/>
      <w:lvlText w:val="%1."/>
      <w:lvlJc w:val="left"/>
      <w:pPr>
        <w:tabs>
          <w:tab w:val="left" w:pos="312"/>
        </w:tabs>
      </w:pPr>
    </w:lvl>
  </w:abstractNum>
  <w:abstractNum w:abstractNumId="5">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1666171"/>
    <w:rsid w:val="05C17055"/>
    <w:rsid w:val="0A283661"/>
    <w:rsid w:val="0AFB126B"/>
    <w:rsid w:val="0B836C01"/>
    <w:rsid w:val="0BC016D4"/>
    <w:rsid w:val="0E115DFD"/>
    <w:rsid w:val="11D27EAE"/>
    <w:rsid w:val="11F779EA"/>
    <w:rsid w:val="13FC79DF"/>
    <w:rsid w:val="14802A48"/>
    <w:rsid w:val="16082A37"/>
    <w:rsid w:val="17376A0E"/>
    <w:rsid w:val="183B55C6"/>
    <w:rsid w:val="18D70459"/>
    <w:rsid w:val="19604A8B"/>
    <w:rsid w:val="19D75848"/>
    <w:rsid w:val="1B4B5AEB"/>
    <w:rsid w:val="1C1A2C25"/>
    <w:rsid w:val="1F9F5048"/>
    <w:rsid w:val="20D97C1B"/>
    <w:rsid w:val="219B795E"/>
    <w:rsid w:val="2210681E"/>
    <w:rsid w:val="228E430B"/>
    <w:rsid w:val="22CF03F3"/>
    <w:rsid w:val="2318340F"/>
    <w:rsid w:val="23553F43"/>
    <w:rsid w:val="24A44900"/>
    <w:rsid w:val="298F3B09"/>
    <w:rsid w:val="299664C8"/>
    <w:rsid w:val="2C31616B"/>
    <w:rsid w:val="2DDE0709"/>
    <w:rsid w:val="2E4E1CC5"/>
    <w:rsid w:val="33FC6BB1"/>
    <w:rsid w:val="3B5F57B8"/>
    <w:rsid w:val="3F28132A"/>
    <w:rsid w:val="3F7A1A05"/>
    <w:rsid w:val="41B2176C"/>
    <w:rsid w:val="42440D16"/>
    <w:rsid w:val="43232074"/>
    <w:rsid w:val="472121BF"/>
    <w:rsid w:val="49221B6F"/>
    <w:rsid w:val="4A5D330F"/>
    <w:rsid w:val="4BB30CD3"/>
    <w:rsid w:val="4C4B677C"/>
    <w:rsid w:val="4EA50729"/>
    <w:rsid w:val="51F94F3B"/>
    <w:rsid w:val="521F4358"/>
    <w:rsid w:val="524C4742"/>
    <w:rsid w:val="527E6AD5"/>
    <w:rsid w:val="53162A13"/>
    <w:rsid w:val="54935C2C"/>
    <w:rsid w:val="55920CB6"/>
    <w:rsid w:val="56B41FC2"/>
    <w:rsid w:val="572F0D56"/>
    <w:rsid w:val="583C654E"/>
    <w:rsid w:val="598952D7"/>
    <w:rsid w:val="5C6138A3"/>
    <w:rsid w:val="5CE11B48"/>
    <w:rsid w:val="5D8F024D"/>
    <w:rsid w:val="5F1F533B"/>
    <w:rsid w:val="5FF52248"/>
    <w:rsid w:val="62CC1552"/>
    <w:rsid w:val="648B65A3"/>
    <w:rsid w:val="6544153D"/>
    <w:rsid w:val="66472822"/>
    <w:rsid w:val="66783B12"/>
    <w:rsid w:val="67A92535"/>
    <w:rsid w:val="68CD37BD"/>
    <w:rsid w:val="68D01454"/>
    <w:rsid w:val="691B1082"/>
    <w:rsid w:val="697666F9"/>
    <w:rsid w:val="6A1F777D"/>
    <w:rsid w:val="6BFF416F"/>
    <w:rsid w:val="6C35148F"/>
    <w:rsid w:val="6C940C35"/>
    <w:rsid w:val="6DD9053E"/>
    <w:rsid w:val="6F5B7969"/>
    <w:rsid w:val="6FAE2F10"/>
    <w:rsid w:val="7421632A"/>
    <w:rsid w:val="75954993"/>
    <w:rsid w:val="776C584A"/>
    <w:rsid w:val="77910B33"/>
    <w:rsid w:val="7BDE390B"/>
    <w:rsid w:val="7DB3786A"/>
    <w:rsid w:val="7DE9691A"/>
    <w:rsid w:val="7E3F0B7D"/>
    <w:rsid w:val="7F32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15</TotalTime>
  <ScaleCrop>false</ScaleCrop>
  <LinksUpToDate>false</LinksUpToDate>
  <CharactersWithSpaces>3558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xtb</cp:lastModifiedBy>
  <cp:lastPrinted>2022-09-20T08:44:00Z</cp:lastPrinted>
  <dcterms:modified xsi:type="dcterms:W3CDTF">2022-09-27T03:42:12Z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351F26473D1446898D3D570C95093AA8</vt:lpwstr>
  </property>
</Properties>
</file>