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eastAsia="zh-CN"/>
        </w:rPr>
        <w:t>朔州市朔城区城市管理综合行政执法队</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sz w:val="30"/>
          <w:szCs w:val="30"/>
        </w:rPr>
      </w:pPr>
      <w:r>
        <w:rPr>
          <w:rFonts w:hint="eastAsia" w:ascii="仿宋" w:hAnsi="仿宋" w:eastAsia="仿宋" w:cs="仿宋"/>
          <w:sz w:val="32"/>
          <w:szCs w:val="32"/>
        </w:rPr>
        <w:t>1、</w:t>
      </w:r>
      <w:r>
        <w:rPr>
          <w:rFonts w:hint="eastAsia" w:ascii="仿宋" w:hAnsi="仿宋" w:eastAsia="仿宋"/>
          <w:sz w:val="30"/>
          <w:szCs w:val="30"/>
        </w:rPr>
        <w:t>贯彻执行国家、省、市、区关于城市管理综合行政执法方面的法律、法规、规章及政策，执行区城市综合执法相关工作；</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sz w:val="30"/>
          <w:szCs w:val="30"/>
        </w:rPr>
        <w:t>集中行使区住房和城乡建设管理领域</w:t>
      </w:r>
      <w:r>
        <w:rPr>
          <w:rFonts w:hint="eastAsia" w:ascii="仿宋" w:hAnsi="仿宋" w:eastAsia="仿宋" w:cs="宋体"/>
          <w:bCs/>
          <w:color w:val="000000"/>
          <w:kern w:val="0"/>
          <w:sz w:val="30"/>
          <w:szCs w:val="30"/>
        </w:rPr>
        <w:t>法律法规规定的全部行政处罚权；</w:t>
      </w:r>
      <w:r>
        <w:rPr>
          <w:rFonts w:hint="eastAsia" w:ascii="仿宋" w:hAnsi="仿宋" w:eastAsia="仿宋" w:cs="仿宋"/>
          <w:sz w:val="32"/>
          <w:szCs w:val="32"/>
        </w:rPr>
        <w:t xml:space="preserve"> </w:t>
      </w:r>
    </w:p>
    <w:p>
      <w:pPr>
        <w:ind w:firstLine="640" w:firstLineChars="200"/>
        <w:rPr>
          <w:rFonts w:ascii="仿宋" w:hAnsi="仿宋" w:eastAsia="仿宋" w:cs="宋体"/>
          <w:bCs/>
          <w:color w:val="000000"/>
          <w:kern w:val="0"/>
          <w:sz w:val="30"/>
          <w:szCs w:val="30"/>
        </w:rPr>
      </w:pPr>
      <w:r>
        <w:rPr>
          <w:rFonts w:hint="eastAsia" w:ascii="仿宋" w:hAnsi="仿宋" w:eastAsia="仿宋" w:cs="仿宋"/>
          <w:sz w:val="32"/>
          <w:szCs w:val="32"/>
        </w:rPr>
        <w:t>3、</w:t>
      </w:r>
      <w:r>
        <w:rPr>
          <w:rFonts w:hint="eastAsia" w:ascii="仿宋" w:hAnsi="仿宋" w:eastAsia="仿宋" w:cs="宋体"/>
          <w:bCs/>
          <w:color w:val="000000"/>
          <w:kern w:val="0"/>
          <w:sz w:val="30"/>
          <w:szCs w:val="30"/>
        </w:rPr>
        <w:t>市政公用设施运行管理、市容环境卫生管理、园林绿化管理等住房城乡建设管理领域法律法规规章规定的行政处罚权；</w:t>
      </w:r>
    </w:p>
    <w:p>
      <w:pPr>
        <w:ind w:firstLine="600" w:firstLineChars="200"/>
        <w:rPr>
          <w:rFonts w:ascii="仿宋" w:hAnsi="仿宋" w:eastAsia="仿宋" w:cs="仿宋"/>
          <w:sz w:val="32"/>
          <w:szCs w:val="32"/>
        </w:rPr>
      </w:pPr>
      <w:r>
        <w:rPr>
          <w:rFonts w:hint="eastAsia" w:ascii="仿宋" w:hAnsi="仿宋" w:eastAsia="仿宋" w:cs="宋体"/>
          <w:bCs/>
          <w:color w:val="000000"/>
          <w:kern w:val="0"/>
          <w:sz w:val="30"/>
          <w:szCs w:val="30"/>
        </w:rPr>
        <w:t>4、户外公共场所无照经营、违规设置户外广告的行政处罚权；</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宋体"/>
          <w:bCs/>
          <w:color w:val="000000"/>
          <w:kern w:val="0"/>
          <w:sz w:val="30"/>
          <w:szCs w:val="30"/>
        </w:rPr>
        <w:t>户外公共场所侵占城市道路的食品销售、餐饮摊点等行政处罚权；</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秘书股、法规股；无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单位部门决算包括：本级决算</w:t>
      </w:r>
      <w:r>
        <w:rPr>
          <w:rFonts w:hint="eastAsia" w:ascii="宋体" w:hAnsi="宋体" w:eastAsia="仿宋_GB2312" w:cs="Times New Roman"/>
          <w:sz w:val="32"/>
          <w:szCs w:val="32"/>
          <w:lang w:eastAsia="zh-CN"/>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1118.91</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1118.91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365.9</w:t>
      </w:r>
      <w:r>
        <w:rPr>
          <w:rFonts w:hint="eastAsia" w:ascii="宋体" w:hAnsi="宋体" w:eastAsia="仿宋_GB2312" w:cs="Times New Roman"/>
          <w:sz w:val="32"/>
          <w:szCs w:val="32"/>
        </w:rPr>
        <w:t>万元，支出总计增加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365.9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本单位</w:t>
      </w:r>
      <w:r>
        <w:rPr>
          <w:rFonts w:hint="eastAsia" w:ascii="宋体" w:hAnsi="宋体" w:eastAsia="仿宋_GB2312" w:cs="Times New Roman"/>
          <w:sz w:val="32"/>
          <w:szCs w:val="32"/>
          <w:lang w:val="en-US" w:eastAsia="zh-CN"/>
        </w:rPr>
        <w:t>2020年因机构改革由三家单位组建成立，决算数据非全年数据。</w:t>
      </w:r>
    </w:p>
    <w:p>
      <w:pPr>
        <w:spacing w:line="204" w:lineRule="auto"/>
        <w:jc w:val="left"/>
        <w:rPr>
          <w:rFonts w:hint="eastAsia" w:ascii="楷体" w:hAnsi="楷体" w:eastAsia="楷体" w:cs="楷体"/>
          <w:spacing w:val="-2"/>
          <w:sz w:val="32"/>
          <w:szCs w:val="32"/>
          <w:lang w:val="en-US" w:eastAsia="zh-CN"/>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r>
        <w:rPr>
          <w:rFonts w:hint="eastAsia" w:ascii="楷体" w:hAnsi="楷体" w:eastAsia="楷体" w:cs="楷体"/>
          <w:spacing w:val="-3"/>
          <w:sz w:val="32"/>
          <w:szCs w:val="32"/>
          <w:lang w:val="en-US" w:eastAsia="zh-CN"/>
        </w:rPr>
        <w:t xml:space="preserve"> </w:t>
      </w:r>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570.41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548.50</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1118.91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365.9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48</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本单位</w:t>
      </w:r>
      <w:r>
        <w:rPr>
          <w:rFonts w:hint="eastAsia" w:ascii="宋体" w:hAnsi="宋体" w:eastAsia="仿宋_GB2312" w:cs="Times New Roman"/>
          <w:sz w:val="32"/>
          <w:szCs w:val="32"/>
          <w:lang w:val="en-US" w:eastAsia="zh-CN"/>
        </w:rPr>
        <w:t>2020年因机构改革由三家单位组建成立，决算数据非全年数据。</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365.9</w:t>
      </w:r>
      <w:r>
        <w:rPr>
          <w:rFonts w:hint="eastAsia" w:ascii="宋体" w:hAnsi="宋体" w:eastAsia="仿宋_GB2312" w:cs="Times New Roman"/>
          <w:sz w:val="32"/>
          <w:szCs w:val="32"/>
        </w:rPr>
        <w:t>万</w:t>
      </w:r>
      <w:bookmarkStart w:id="22" w:name="_GoBack"/>
      <w:bookmarkEnd w:id="22"/>
      <w:r>
        <w:rPr>
          <w:rFonts w:hint="eastAsia" w:ascii="宋体" w:hAnsi="宋体" w:eastAsia="仿宋_GB2312" w:cs="Times New Roman"/>
          <w:sz w:val="32"/>
          <w:szCs w:val="32"/>
        </w:rPr>
        <w:t>元。主要原因是：</w:t>
      </w:r>
      <w:r>
        <w:rPr>
          <w:rFonts w:hint="eastAsia" w:ascii="宋体" w:hAnsi="宋体" w:eastAsia="仿宋_GB2312" w:cs="Times New Roman"/>
          <w:sz w:val="32"/>
          <w:szCs w:val="32"/>
          <w:lang w:eastAsia="zh-CN"/>
        </w:rPr>
        <w:t>本单位</w:t>
      </w:r>
      <w:r>
        <w:rPr>
          <w:rFonts w:hint="eastAsia" w:ascii="宋体" w:hAnsi="宋体" w:eastAsia="仿宋_GB2312" w:cs="Times New Roman"/>
          <w:sz w:val="32"/>
          <w:szCs w:val="32"/>
          <w:lang w:val="en-US" w:eastAsia="zh-CN"/>
        </w:rPr>
        <w:t>2020年因机构改革由三家单位组建成立，决算数据非全年数据。</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死亡抚恤</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22.45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%；城</w:t>
      </w:r>
      <w:r>
        <w:rPr>
          <w:rFonts w:hint="eastAsia" w:ascii="宋体" w:hAnsi="宋体" w:eastAsia="仿宋_GB2312" w:cs="Times New Roman"/>
          <w:sz w:val="32"/>
          <w:szCs w:val="32"/>
          <w:lang w:val="en-US" w:eastAsia="zh-CN"/>
        </w:rPr>
        <w:t>管执法</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1096.47</w:t>
      </w:r>
      <w:r>
        <w:rPr>
          <w:rFonts w:hint="eastAsia" w:ascii="仿宋" w:hAnsi="仿宋" w:eastAsia="仿宋" w:cs="仿宋"/>
          <w:sz w:val="32"/>
          <w:szCs w:val="32"/>
        </w:rPr>
        <w:t>万元，占9</w:t>
      </w:r>
      <w:r>
        <w:rPr>
          <w:rFonts w:hint="eastAsia" w:ascii="仿宋" w:hAnsi="仿宋" w:eastAsia="仿宋" w:cs="仿宋"/>
          <w:sz w:val="32"/>
          <w:szCs w:val="32"/>
          <w:lang w:val="en-US" w:eastAsia="zh-CN"/>
        </w:rPr>
        <w:t>8</w:t>
      </w:r>
      <w:r>
        <w:rPr>
          <w:rFonts w:hint="eastAsia" w:ascii="仿宋" w:hAnsi="仿宋" w:eastAsia="仿宋" w:cs="仿宋"/>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1118.91</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1118.91</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570.41</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570.41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562.27</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8.14</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公用经费</w:t>
      </w:r>
      <w:r>
        <w:rPr>
          <w:rFonts w:hint="eastAsia" w:ascii="仿宋" w:hAnsi="仿宋" w:eastAsia="仿宋" w:cs="仿宋"/>
          <w:spacing w:val="4"/>
          <w:sz w:val="32"/>
          <w:szCs w:val="32"/>
          <w:highlight w:val="none"/>
          <w:lang w:val="en-US" w:eastAsia="zh-CN"/>
        </w:rPr>
        <w:t>0</w:t>
      </w:r>
      <w:r>
        <w:rPr>
          <w:rFonts w:hint="eastAsia" w:ascii="宋体" w:hAnsi="宋体" w:eastAsia="仿宋_GB2312" w:cs="Times New Roman"/>
          <w:sz w:val="32"/>
          <w:szCs w:val="32"/>
          <w:highlight w:val="none"/>
        </w:rPr>
        <w:t xml:space="preserve">万元，主要包括商品和服务支出 </w:t>
      </w:r>
      <w:r>
        <w:rPr>
          <w:rFonts w:hint="eastAsia" w:ascii="仿宋" w:hAnsi="仿宋" w:eastAsia="仿宋" w:cs="仿宋"/>
          <w:spacing w:val="4"/>
          <w:sz w:val="32"/>
          <w:szCs w:val="32"/>
          <w:highlight w:val="none"/>
          <w:lang w:val="en-US" w:eastAsia="zh-CN"/>
        </w:rPr>
        <w:t>0</w:t>
      </w:r>
      <w:r>
        <w:rPr>
          <w:rFonts w:hint="eastAsia" w:ascii="宋体" w:hAnsi="宋体" w:eastAsia="仿宋_GB2312" w:cs="Times New Roman"/>
          <w:sz w:val="32"/>
          <w:szCs w:val="32"/>
          <w:highlight w:val="none"/>
        </w:rPr>
        <w:t>万元和资本性支出</w:t>
      </w:r>
      <w:r>
        <w:rPr>
          <w:rFonts w:hint="eastAsia" w:ascii="仿宋" w:hAnsi="仿宋" w:eastAsia="仿宋" w:cs="仿宋"/>
          <w:spacing w:val="4"/>
          <w:sz w:val="32"/>
          <w:szCs w:val="32"/>
          <w:highlight w:val="none"/>
          <w:lang w:val="en-US" w:eastAsia="zh-CN"/>
        </w:rPr>
        <w:t>0</w:t>
      </w:r>
      <w:r>
        <w:rPr>
          <w:rFonts w:hint="eastAsia" w:ascii="宋体" w:hAnsi="宋体" w:eastAsia="仿宋_GB2312" w:cs="Times New Roman"/>
          <w:sz w:val="32"/>
          <w:szCs w:val="32"/>
          <w:highlight w:val="none"/>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与同年预算相比增加（减少）</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政府性基金预算财政拨款收入</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机关运行经费</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3.47</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3.47</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28</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28</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2021年我单位</w:t>
      </w:r>
      <w:r>
        <w:rPr>
          <w:rFonts w:hint="eastAsia" w:ascii="宋体" w:hAnsi="宋体" w:eastAsia="仿宋_GB2312" w:cs="Times New Roman"/>
          <w:sz w:val="32"/>
          <w:szCs w:val="32"/>
        </w:rPr>
        <w:t>未开展绩效管理目标工作</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5MDQwZmE1ZDY0ODM3ODllZTQ3YjQ4MGY3NzQxY2YifQ=="/>
  </w:docVars>
  <w:rsids>
    <w:rsidRoot w:val="7E3F0B7D"/>
    <w:rsid w:val="000014A7"/>
    <w:rsid w:val="00052B5B"/>
    <w:rsid w:val="00774AFB"/>
    <w:rsid w:val="00E4217F"/>
    <w:rsid w:val="06EB6BB5"/>
    <w:rsid w:val="0E115DFD"/>
    <w:rsid w:val="11D27EAE"/>
    <w:rsid w:val="12C52FCD"/>
    <w:rsid w:val="12C748DE"/>
    <w:rsid w:val="1E5F0E17"/>
    <w:rsid w:val="20D97C1B"/>
    <w:rsid w:val="23553F43"/>
    <w:rsid w:val="263B2BB2"/>
    <w:rsid w:val="268F7158"/>
    <w:rsid w:val="28556DCC"/>
    <w:rsid w:val="29824F56"/>
    <w:rsid w:val="299664C8"/>
    <w:rsid w:val="3BEC05AF"/>
    <w:rsid w:val="3F28132A"/>
    <w:rsid w:val="408E056E"/>
    <w:rsid w:val="47112C21"/>
    <w:rsid w:val="49221B6F"/>
    <w:rsid w:val="6544153D"/>
    <w:rsid w:val="68CD37BD"/>
    <w:rsid w:val="6C940C35"/>
    <w:rsid w:val="6D991E8A"/>
    <w:rsid w:val="73A452DD"/>
    <w:rsid w:val="76FA1700"/>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2801</Words>
  <Characters>3025</Characters>
  <Lines>5</Lines>
  <Paragraphs>7</Paragraphs>
  <TotalTime>64</TotalTime>
  <ScaleCrop>false</ScaleCrop>
  <LinksUpToDate>false</LinksUpToDate>
  <CharactersWithSpaces>3097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流星</cp:lastModifiedBy>
  <cp:lastPrinted>2021-10-28T11:45:00Z</cp:lastPrinted>
  <dcterms:modified xsi:type="dcterms:W3CDTF">2022-11-28T11:02:57Z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94AD6CBE628442FCA4793F7AEC40F9F3</vt:lpwstr>
  </property>
</Properties>
</file>