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朔州市朔城区市场监督管理局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1、负责全区市场综合监督管理。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2、负责全区市场主体统一登记注册。</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3、负责组织和指导全区市场监管综合执法工作。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4、负责全区反垄断执法工作。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5、负责监督管理市场秩序。</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6、负责全区宏观质量管理。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7、负责全区产品质量安全监督管理。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8、负责全区食品安全监督管理综合协调。</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9、负责全区特种设备安全监督管理。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10、负责全区食品安全监督管理。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11、负责统一管理全区计量工作。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12、负责统一管理全区标准化工作。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13、负责统一管理、监督全区认证认可、检验检测工作。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14、负责全区知识产权工作。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15、负责市场监督管理科技和信息化建设、新闻宣传。</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16、负责药品、医疗器械和化妆品安全监督管理、监督检查。</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17、负责药品、医疗器械和化妆品标准、质量管理。</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18、依法承担药品、医疗器械和化妆品安全应急管理工作。</w:t>
      </w:r>
    </w:p>
    <w:p>
      <w:pPr>
        <w:widowControl/>
        <w:ind w:left="2"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19、完成区委、区政府交办的其它任务。</w:t>
      </w:r>
    </w:p>
    <w:p>
      <w:pPr>
        <w:ind w:firstLine="320" w:firstLineChars="100"/>
        <w:rPr>
          <w:rFonts w:ascii="仿宋" w:hAnsi="仿宋" w:eastAsia="仿宋" w:cs="仿宋"/>
          <w:sz w:val="32"/>
          <w:szCs w:val="32"/>
        </w:rPr>
      </w:pPr>
      <w:r>
        <w:rPr>
          <w:rFonts w:hint="eastAsia" w:ascii="仿宋" w:hAnsi="仿宋" w:eastAsia="仿宋" w:cs="仿宋"/>
          <w:sz w:val="32"/>
          <w:szCs w:val="32"/>
        </w:rPr>
        <w:t>（二）部门机构设置</w:t>
      </w:r>
    </w:p>
    <w:p>
      <w:pPr>
        <w:spacing w:line="204" w:lineRule="auto"/>
        <w:ind w:firstLine="667"/>
        <w:jc w:val="left"/>
        <w:rPr>
          <w:rFonts w:hint="eastAsia" w:ascii="宋体" w:hAnsi="宋体" w:eastAsia="仿宋_GB2312" w:cs="Times New Roman"/>
          <w:sz w:val="32"/>
          <w:szCs w:val="32"/>
        </w:rPr>
      </w:pPr>
      <w:r>
        <w:rPr>
          <w:rFonts w:hint="eastAsia" w:ascii="黑体" w:eastAsia="黑体"/>
          <w:sz w:val="24"/>
        </w:rPr>
        <w:t xml:space="preserve"> </w:t>
      </w:r>
      <w:r>
        <w:rPr>
          <w:rFonts w:hint="eastAsia" w:ascii="宋体" w:hAnsi="宋体" w:eastAsia="仿宋_GB2312" w:cs="Times New Roman"/>
          <w:sz w:val="32"/>
          <w:szCs w:val="32"/>
        </w:rPr>
        <w:t>本单位内设21个科室，6个市场监管所，下属3个单位。从预算单位构成看，朔州市朔城区市场监督管理局部门决算包括：本级决算、所属朔州市朔城区消费者协会、朔州市朔城区个体劳动者协会和朔州市朔城区私营企业协会单位决算。</w:t>
      </w:r>
    </w:p>
    <w:p>
      <w:pPr>
        <w:spacing w:line="204" w:lineRule="auto"/>
        <w:ind w:firstLine="667"/>
        <w:jc w:val="left"/>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highlight w:val="none"/>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2216.23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2216.23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7.23</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7.23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highlight w:val="none"/>
          <w:lang w:val="en-US" w:eastAsia="zh-CN"/>
        </w:rPr>
        <w:t>政府性基金（疫情抽检费）减少</w:t>
      </w:r>
      <w:r>
        <w:rPr>
          <w:rFonts w:hint="eastAsia" w:ascii="宋体" w:hAnsi="宋体" w:eastAsia="仿宋_GB2312" w:cs="Times New Roman"/>
          <w:sz w:val="32"/>
          <w:szCs w:val="32"/>
          <w:highlight w:val="none"/>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1395.26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820.97</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highlight w:val="none"/>
          <w:lang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2216.23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7.23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0.33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政府性基金（疫情抽检费）减少</w:t>
      </w:r>
      <w:r>
        <w:rPr>
          <w:rFonts w:hint="eastAsia" w:ascii="宋体" w:hAnsi="宋体" w:eastAsia="仿宋_GB2312" w:cs="Times New Roman"/>
          <w:sz w:val="32"/>
          <w:szCs w:val="32"/>
          <w:highlight w:val="none"/>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default" w:ascii="宋体" w:hAnsi="宋体" w:eastAsia="仿宋_GB2312" w:cs="Times New Roman"/>
          <w:sz w:val="32"/>
          <w:szCs w:val="32"/>
          <w:highlight w:val="none"/>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2.77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人员</w:t>
      </w:r>
      <w:r>
        <w:rPr>
          <w:rFonts w:hint="eastAsia" w:ascii="宋体" w:hAnsi="宋体" w:eastAsia="仿宋_GB2312" w:cs="Times New Roman"/>
          <w:sz w:val="32"/>
          <w:szCs w:val="32"/>
          <w:highlight w:val="none"/>
          <w:lang w:val="en-US" w:eastAsia="zh-CN"/>
        </w:rPr>
        <w:t>增资。</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 w:cs="仿宋"/>
          <w:sz w:val="32"/>
          <w:szCs w:val="32"/>
          <w:highlight w:val="none"/>
          <w:lang w:eastAsia="zh-CN"/>
        </w:rPr>
      </w:pPr>
      <w:bookmarkStart w:id="14" w:name="_Toc1066_WPSOffice_Level2"/>
      <w:bookmarkStart w:id="15" w:name="_Toc2742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年度财政拨款支出</w:t>
      </w:r>
      <w:r>
        <w:rPr>
          <w:rFonts w:hint="eastAsia" w:ascii="仿宋" w:hAnsi="仿宋" w:eastAsia="仿宋" w:cs="仿宋"/>
          <w:sz w:val="32"/>
          <w:szCs w:val="32"/>
          <w:highlight w:val="none"/>
          <w:lang w:val="en-US" w:eastAsia="zh-CN"/>
        </w:rPr>
        <w:t>2216.23</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2013801行政运行</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1341.65</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60</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2013802一般行政管理事务</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667.33</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30</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2013850事业运行</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147.59</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2080801死亡抚恤</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36.88</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2100408基本公共卫生服务</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12.28</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0.75%</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2100410突发公共卫生事件应急处理</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10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0.75%</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2299999其他支出</w:t>
      </w:r>
      <w:r>
        <w:rPr>
          <w:rFonts w:hint="eastAsia" w:ascii="宋体" w:hAnsi="宋体" w:eastAsia="仿宋_GB2312" w:cs="Times New Roman"/>
          <w:sz w:val="32"/>
          <w:szCs w:val="32"/>
          <w:highlight w:val="none"/>
        </w:rPr>
        <w:t>科目支出</w:t>
      </w:r>
      <w:r>
        <w:rPr>
          <w:rFonts w:hint="eastAsia" w:ascii="宋体" w:hAnsi="宋体" w:eastAsia="仿宋_GB2312" w:cs="Times New Roman"/>
          <w:sz w:val="32"/>
          <w:szCs w:val="32"/>
          <w:highlight w:val="none"/>
          <w:lang w:val="en-US" w:eastAsia="zh-CN"/>
        </w:rPr>
        <w:t>0.50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，占</w:t>
      </w:r>
      <w:r>
        <w:rPr>
          <w:rFonts w:hint="eastAsia" w:ascii="宋体" w:hAnsi="宋体" w:eastAsia="仿宋_GB2312" w:cs="Times New Roman"/>
          <w:sz w:val="32"/>
          <w:szCs w:val="32"/>
          <w:highlight w:val="none"/>
          <w:lang w:val="en-US" w:eastAsia="zh-CN"/>
        </w:rPr>
        <w:t>0.5%</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2216.23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2216.23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1395.26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1300.84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1265.73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35.11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94.42</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94.42</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6.42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0.08万元，原因是</w:t>
      </w:r>
      <w:r>
        <w:rPr>
          <w:rFonts w:hint="eastAsia" w:ascii="宋体" w:hAnsi="宋体" w:eastAsia="仿宋_GB2312" w:cs="Times New Roman"/>
          <w:sz w:val="32"/>
          <w:szCs w:val="32"/>
          <w:lang w:eastAsia="zh-CN"/>
        </w:rPr>
        <w:t>执行</w:t>
      </w:r>
      <w:r>
        <w:rPr>
          <w:rFonts w:hint="default" w:ascii="宋体" w:hAnsi="宋体" w:eastAsia="仿宋_GB2312" w:cs="Times New Roman"/>
          <w:sz w:val="32"/>
          <w:szCs w:val="32"/>
          <w:lang w:val="en" w:eastAsia="zh-CN"/>
        </w:rPr>
        <w:t>中央八项规定</w:t>
      </w:r>
      <w:r>
        <w:rPr>
          <w:rFonts w:hint="eastAsia" w:ascii="宋体" w:hAnsi="宋体" w:eastAsia="仿宋_GB2312" w:cs="Times New Roman"/>
          <w:sz w:val="32"/>
          <w:szCs w:val="32"/>
          <w:lang w:eastAsia="zh-CN"/>
        </w:rPr>
        <w:t>及其实施细则精神压减三公经费；</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1.89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，原因是执行</w:t>
      </w:r>
      <w:r>
        <w:rPr>
          <w:rFonts w:hint="default" w:ascii="宋体" w:hAnsi="宋体" w:eastAsia="仿宋_GB2312" w:cs="Times New Roman"/>
          <w:sz w:val="32"/>
          <w:szCs w:val="32"/>
          <w:lang w:val="en" w:eastAsia="zh-CN"/>
        </w:rPr>
        <w:t>中央八项规定</w:t>
      </w:r>
      <w:r>
        <w:rPr>
          <w:rFonts w:hint="eastAsia" w:ascii="宋体" w:hAnsi="宋体" w:eastAsia="仿宋_GB2312" w:cs="Times New Roman"/>
          <w:sz w:val="32"/>
          <w:szCs w:val="32"/>
          <w:lang w:eastAsia="zh-CN"/>
        </w:rPr>
        <w:t>及其实施细则精神压减三公经费</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6.42</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1.89</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执行</w:t>
      </w:r>
      <w:r>
        <w:rPr>
          <w:rFonts w:hint="default" w:ascii="宋体" w:hAnsi="宋体" w:eastAsia="仿宋_GB2312" w:cs="Times New Roman"/>
          <w:sz w:val="32"/>
          <w:szCs w:val="32"/>
          <w:lang w:val="en" w:eastAsia="zh-CN"/>
        </w:rPr>
        <w:t>中央八项规定</w:t>
      </w:r>
      <w:bookmarkStart w:id="22" w:name="_GoBack"/>
      <w:bookmarkEnd w:id="22"/>
      <w:r>
        <w:rPr>
          <w:rFonts w:hint="eastAsia" w:ascii="宋体" w:hAnsi="宋体" w:eastAsia="仿宋_GB2312" w:cs="Times New Roman"/>
          <w:sz w:val="32"/>
          <w:szCs w:val="32"/>
          <w:lang w:eastAsia="zh-CN"/>
        </w:rPr>
        <w:t>及其实施细则精神压减三公经费</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单位机关运行经费支出</w:t>
      </w:r>
      <w:r>
        <w:rPr>
          <w:rFonts w:hint="eastAsia" w:ascii="宋体" w:hAnsi="宋体" w:eastAsia="仿宋_GB2312" w:cs="Times New Roman"/>
          <w:sz w:val="32"/>
          <w:szCs w:val="32"/>
          <w:highlight w:val="none"/>
          <w:lang w:val="en-US" w:eastAsia="zh-CN"/>
        </w:rPr>
        <w:t>94.42</w:t>
      </w:r>
      <w:r>
        <w:rPr>
          <w:rFonts w:hint="eastAsia" w:ascii="宋体" w:hAnsi="宋体" w:eastAsia="仿宋_GB2312" w:cs="Times New Roman"/>
          <w:sz w:val="32"/>
          <w:szCs w:val="32"/>
          <w:highlight w:val="none"/>
        </w:rPr>
        <w:t>万元，比</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年</w:t>
      </w:r>
      <w:r>
        <w:rPr>
          <w:rFonts w:hint="eastAsia" w:ascii="宋体" w:hAnsi="宋体" w:eastAsia="仿宋_GB2312" w:cs="Times New Roman"/>
          <w:sz w:val="32"/>
          <w:szCs w:val="32"/>
          <w:highlight w:val="none"/>
          <w:lang w:eastAsia="zh-CN"/>
        </w:rPr>
        <w:t>减少</w:t>
      </w:r>
      <w:r>
        <w:rPr>
          <w:rFonts w:hint="eastAsia" w:ascii="宋体" w:hAnsi="宋体" w:eastAsia="仿宋_GB2312" w:cs="Times New Roman"/>
          <w:sz w:val="32"/>
          <w:szCs w:val="32"/>
          <w:highlight w:val="none"/>
          <w:lang w:val="en-US" w:eastAsia="zh-CN"/>
        </w:rPr>
        <w:t>321.63</w:t>
      </w:r>
      <w:r>
        <w:rPr>
          <w:rFonts w:hint="eastAsia" w:ascii="宋体" w:hAnsi="宋体" w:eastAsia="仿宋_GB2312" w:cs="Times New Roman"/>
          <w:sz w:val="32"/>
          <w:szCs w:val="32"/>
          <w:highlight w:val="none"/>
        </w:rPr>
        <w:t>万元，降低</w:t>
      </w:r>
      <w:r>
        <w:rPr>
          <w:rFonts w:hint="eastAsia" w:ascii="宋体" w:hAnsi="宋体" w:eastAsia="仿宋_GB2312" w:cs="Times New Roman"/>
          <w:sz w:val="32"/>
          <w:szCs w:val="32"/>
          <w:highlight w:val="none"/>
          <w:lang w:val="en-US" w:eastAsia="zh-CN"/>
        </w:rPr>
        <w:t>77.30</w:t>
      </w:r>
      <w:r>
        <w:rPr>
          <w:rFonts w:hint="eastAsia" w:ascii="宋体" w:hAnsi="宋体" w:eastAsia="仿宋_GB2312" w:cs="Times New Roman"/>
          <w:sz w:val="32"/>
          <w:szCs w:val="32"/>
          <w:highlight w:val="none"/>
        </w:rPr>
        <w:t>%，主要原因是</w:t>
      </w:r>
      <w:r>
        <w:rPr>
          <w:rFonts w:hint="eastAsia" w:ascii="宋体" w:hAnsi="宋体" w:eastAsia="仿宋_GB2312" w:cs="Times New Roman"/>
          <w:sz w:val="32"/>
          <w:szCs w:val="32"/>
          <w:highlight w:val="none"/>
          <w:lang w:val="en-US" w:eastAsia="zh-CN"/>
        </w:rPr>
        <w:t>统计口径不一致，2020年将</w:t>
      </w:r>
      <w:r>
        <w:rPr>
          <w:rFonts w:hint="eastAsia" w:ascii="宋体" w:hAnsi="宋体" w:eastAsia="仿宋_GB2312" w:cs="Times New Roman"/>
          <w:sz w:val="32"/>
          <w:szCs w:val="32"/>
          <w:highlight w:val="none"/>
          <w:lang w:eastAsia="zh-CN"/>
        </w:rPr>
        <w:t>项目纳入单位机关运行经费</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599.63</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599.63</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21</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5"/>
        </w:numPr>
        <w:rPr>
          <w:rFonts w:hint="eastAsia" w:ascii="宋体" w:hAnsi="宋体" w:eastAsia="仿宋_GB2312" w:cs="Times New Roman"/>
          <w:sz w:val="32"/>
          <w:szCs w:val="32"/>
          <w:lang w:eastAsia="zh-CN"/>
        </w:rPr>
      </w:pP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numPr>
          <w:ilvl w:val="0"/>
          <w:numId w:val="0"/>
        </w:num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个，涉及一般公共预算当年拨款</w:t>
      </w:r>
      <w:r>
        <w:rPr>
          <w:rFonts w:hint="eastAsia" w:ascii="宋体" w:hAnsi="宋体" w:eastAsia="仿宋_GB2312" w:cs="Times New Roman"/>
          <w:sz w:val="32"/>
          <w:szCs w:val="32"/>
          <w:lang w:val="en-US" w:eastAsia="zh-CN"/>
        </w:rPr>
        <w:t>820.97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其中液化气钢瓶置换：数量指标</w:t>
      </w:r>
      <w:r>
        <w:rPr>
          <w:rFonts w:hint="eastAsia" w:ascii="宋体" w:hAnsi="宋体" w:eastAsia="仿宋_GB2312" w:cs="Times New Roman"/>
          <w:sz w:val="32"/>
          <w:szCs w:val="32"/>
          <w:lang w:val="en-US" w:eastAsia="zh-CN"/>
        </w:rPr>
        <w:t>2500个，质量指标100%，时效指标1年，社会效益指标覆盖率达到98%，满意度指标达到99%。</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lang w:eastAsia="zh-CN"/>
        </w:rPr>
        <w:t>通过开展绩效管理，加大执法力度，建设一流执法队伍、营建公平合理的消费环境</w:t>
      </w:r>
      <w:r>
        <w:rPr>
          <w:rFonts w:hint="eastAsia" w:ascii="宋体" w:hAnsi="宋体" w:eastAsia="仿宋_GB2312" w:cs="Times New Roman"/>
          <w:sz w:val="32"/>
          <w:szCs w:val="32"/>
        </w:rPr>
        <w:t>。</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5548D6E"/>
    <w:multiLevelType w:val="singleLevel"/>
    <w:tmpl w:val="65548D6E"/>
    <w:lvl w:ilvl="0" w:tentative="0">
      <w:start w:val="1"/>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GQ4MGE2ZmEyNjkyN2M4ZmY2YjQ4MzdlOWZhM2IifQ=="/>
  </w:docVars>
  <w:rsids>
    <w:rsidRoot w:val="7E3F0B7D"/>
    <w:rsid w:val="000014A7"/>
    <w:rsid w:val="00052B5B"/>
    <w:rsid w:val="00774AFB"/>
    <w:rsid w:val="00E4217F"/>
    <w:rsid w:val="01E5789C"/>
    <w:rsid w:val="02190188"/>
    <w:rsid w:val="070B4DB8"/>
    <w:rsid w:val="0E115DFD"/>
    <w:rsid w:val="11D27EAE"/>
    <w:rsid w:val="20D97C1B"/>
    <w:rsid w:val="21760D64"/>
    <w:rsid w:val="23553F43"/>
    <w:rsid w:val="235D29F3"/>
    <w:rsid w:val="299664C8"/>
    <w:rsid w:val="35EE425B"/>
    <w:rsid w:val="37353608"/>
    <w:rsid w:val="3F28132A"/>
    <w:rsid w:val="42526E1E"/>
    <w:rsid w:val="49221B6F"/>
    <w:rsid w:val="54E66A4D"/>
    <w:rsid w:val="556C5FEF"/>
    <w:rsid w:val="56141945"/>
    <w:rsid w:val="5F2C5020"/>
    <w:rsid w:val="6544153D"/>
    <w:rsid w:val="673F17B5"/>
    <w:rsid w:val="68CD37BD"/>
    <w:rsid w:val="6B7E104E"/>
    <w:rsid w:val="6C940C35"/>
    <w:rsid w:val="7E3F0B7D"/>
    <w:rsid w:val="7E7614B7"/>
    <w:rsid w:val="A2F6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3279</Words>
  <Characters>3641</Characters>
  <Lines>5</Lines>
  <Paragraphs>7</Paragraphs>
  <TotalTime>18</TotalTime>
  <ScaleCrop>false</ScaleCrop>
  <LinksUpToDate>false</LinksUpToDate>
  <CharactersWithSpaces>3700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2023-02-17T16:48:16Z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964174486E6842D7B46D162AA81CE30D</vt:lpwstr>
  </property>
</Properties>
</file>