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朔州市朔城区民政局</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hint="eastAsia"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left="420" w:firstLine="200" w:firstLineChars="1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ab/>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hint="eastAsia"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200" w:firstLineChars="10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1、社会保障救助：城市低保、农村低保、五保供养、孤儿救助、困境儿童、特困儿童、临时救助、困难残疾人、重度残疾人。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2、综合事务社会事务管理：基政建设、社区建设、村委换届、婚姻登记、民间组织管理、区划地名、有奖募捐、慈善捐赠。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朔州市朔城区民政局</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rPr>
        <w:t>2020 年 度 收 入 总 计15079</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7</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万元 、 支 出 总 计15079</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7</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万元。与 2019年相比,收入总计增加</w:t>
      </w:r>
      <w:r>
        <w:rPr>
          <w:rFonts w:hint="eastAsia" w:ascii="宋体" w:hAnsi="宋体" w:eastAsia="仿宋_GB2312" w:cs="Times New Roman"/>
          <w:sz w:val="32"/>
          <w:szCs w:val="32"/>
          <w:lang w:val="en-US" w:eastAsia="zh-CN"/>
        </w:rPr>
        <w:t>403.92</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403.92</w:t>
      </w:r>
      <w:r>
        <w:rPr>
          <w:rFonts w:ascii="仿宋" w:hAnsi="仿宋" w:eastAsia="仿宋" w:cs="仿宋"/>
          <w:spacing w:val="-34"/>
          <w:sz w:val="32"/>
          <w:szCs w:val="32"/>
        </w:rPr>
        <w:t xml:space="preserve"> </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城乡低保标准调整。</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14892</w:t>
      </w:r>
      <w:r>
        <w:rPr>
          <w:rFonts w:hint="eastAsia" w:ascii="仿宋" w:hAnsi="仿宋" w:eastAsia="仿宋" w:cs="仿宋"/>
          <w:sz w:val="32"/>
          <w:szCs w:val="32"/>
          <w:lang w:val="en-US" w:eastAsia="zh-CN"/>
        </w:rPr>
        <w:t>.</w:t>
      </w:r>
      <w:r>
        <w:rPr>
          <w:rFonts w:hint="eastAsia" w:ascii="仿宋" w:hAnsi="仿宋" w:eastAsia="仿宋" w:cs="仿宋"/>
          <w:sz w:val="32"/>
          <w:szCs w:val="32"/>
        </w:rPr>
        <w:t>55</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14892</w:t>
      </w:r>
      <w:r>
        <w:rPr>
          <w:rFonts w:hint="eastAsia" w:ascii="仿宋" w:hAnsi="仿宋" w:eastAsia="仿宋" w:cs="仿宋"/>
          <w:sz w:val="32"/>
          <w:szCs w:val="32"/>
          <w:lang w:val="en-US" w:eastAsia="zh-CN"/>
        </w:rPr>
        <w:t>.</w:t>
      </w:r>
      <w:r>
        <w:rPr>
          <w:rFonts w:hint="eastAsia" w:ascii="仿宋" w:hAnsi="仿宋" w:eastAsia="仿宋" w:cs="仿宋"/>
          <w:sz w:val="32"/>
          <w:szCs w:val="32"/>
        </w:rPr>
        <w:t>55</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14859.73</w:t>
      </w:r>
      <w:r>
        <w:rPr>
          <w:rFonts w:hint="eastAsia" w:ascii="宋体" w:hAnsi="宋体" w:eastAsia="仿宋_GB2312" w:cs="Times New Roman"/>
          <w:sz w:val="32"/>
          <w:szCs w:val="32"/>
        </w:rPr>
        <w:t>万元 ，其中：基本支出</w:t>
      </w:r>
      <w:r>
        <w:rPr>
          <w:rFonts w:hint="eastAsia" w:ascii="仿宋" w:hAnsi="仿宋" w:eastAsia="仿宋" w:cs="仿宋"/>
          <w:sz w:val="32"/>
          <w:szCs w:val="32"/>
        </w:rPr>
        <w:t>239</w:t>
      </w:r>
      <w:r>
        <w:rPr>
          <w:rFonts w:hint="eastAsia" w:ascii="仿宋" w:hAnsi="仿宋" w:eastAsia="仿宋" w:cs="仿宋"/>
          <w:sz w:val="32"/>
          <w:szCs w:val="32"/>
          <w:lang w:val="en-US" w:eastAsia="zh-CN"/>
        </w:rPr>
        <w:t>.</w:t>
      </w:r>
      <w:r>
        <w:rPr>
          <w:rFonts w:hint="eastAsia" w:ascii="仿宋" w:hAnsi="仿宋" w:eastAsia="仿宋" w:cs="仿宋"/>
          <w:sz w:val="32"/>
          <w:szCs w:val="32"/>
        </w:rPr>
        <w:t>14</w:t>
      </w:r>
      <w:r>
        <w:rPr>
          <w:rFonts w:hint="eastAsia" w:ascii="宋体" w:hAnsi="宋体" w:eastAsia="仿宋_GB2312" w:cs="Times New Roman"/>
          <w:sz w:val="32"/>
          <w:szCs w:val="32"/>
        </w:rPr>
        <w:t>万元 ；项目支出</w:t>
      </w:r>
      <w:r>
        <w:rPr>
          <w:rFonts w:hint="eastAsia" w:ascii="仿宋" w:hAnsi="仿宋" w:eastAsia="仿宋" w:cs="仿宋"/>
          <w:sz w:val="32"/>
          <w:szCs w:val="32"/>
        </w:rPr>
        <w:t>14620</w:t>
      </w:r>
      <w:r>
        <w:rPr>
          <w:rFonts w:hint="eastAsia" w:ascii="仿宋" w:hAnsi="仿宋" w:eastAsia="仿宋" w:cs="仿宋"/>
          <w:sz w:val="32"/>
          <w:szCs w:val="32"/>
          <w:lang w:val="en-US" w:eastAsia="zh-CN"/>
        </w:rPr>
        <w:t>.</w:t>
      </w:r>
      <w:r>
        <w:rPr>
          <w:rFonts w:hint="eastAsia" w:ascii="仿宋" w:hAnsi="仿宋" w:eastAsia="仿宋" w:cs="仿宋"/>
          <w:sz w:val="32"/>
          <w:szCs w:val="32"/>
        </w:rPr>
        <w:t>58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w:t>
      </w:r>
      <w:r>
        <w:rPr>
          <w:rFonts w:hint="eastAsia" w:ascii="宋体" w:hAnsi="宋体" w:eastAsia="仿宋_GB2312" w:cs="Times New Roman"/>
          <w:sz w:val="32"/>
          <w:szCs w:val="32"/>
          <w:lang w:val="en-US" w:eastAsia="zh-CN"/>
        </w:rPr>
        <w:t>15079.73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15079.73</w:t>
      </w:r>
      <w:r>
        <w:rPr>
          <w:rFonts w:hint="eastAsia" w:ascii="宋体" w:hAnsi="宋体" w:eastAsia="仿宋_GB2312" w:cs="Times New Roman"/>
          <w:sz w:val="32"/>
          <w:szCs w:val="32"/>
        </w:rPr>
        <w:t>万元。与 2019 年相比，财政拨款收入总计增加</w:t>
      </w:r>
      <w:r>
        <w:rPr>
          <w:rFonts w:hint="eastAsia" w:ascii="宋体" w:hAnsi="宋体" w:eastAsia="仿宋_GB2312" w:cs="Times New Roman"/>
          <w:sz w:val="32"/>
          <w:szCs w:val="32"/>
          <w:lang w:val="en-US" w:eastAsia="zh-CN"/>
        </w:rPr>
        <w:t>403.92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2.8</w:t>
      </w:r>
      <w:r>
        <w:rPr>
          <w:rFonts w:hint="eastAsia" w:ascii="宋体" w:hAnsi="宋体" w:eastAsia="仿宋_GB2312" w:cs="Times New Roman"/>
          <w:sz w:val="32"/>
          <w:szCs w:val="32"/>
        </w:rPr>
        <w:t>%。</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城乡低保标准调整。</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14271.67</w:t>
      </w:r>
      <w:r>
        <w:rPr>
          <w:rFonts w:hint="eastAsia" w:ascii="宋体" w:hAnsi="宋体" w:eastAsia="仿宋_GB2312" w:cs="Times New Roman"/>
          <w:sz w:val="32"/>
          <w:szCs w:val="32"/>
        </w:rPr>
        <w:t>万元，与 2019 年相比，财政拨款支出增加</w:t>
      </w:r>
      <w:r>
        <w:rPr>
          <w:rFonts w:hint="eastAsia" w:ascii="宋体" w:hAnsi="宋体" w:eastAsia="仿宋_GB2312" w:cs="Times New Roman"/>
          <w:sz w:val="32"/>
          <w:szCs w:val="32"/>
          <w:lang w:val="en-US" w:eastAsia="zh-CN"/>
        </w:rPr>
        <w:t>19.86</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社会福利老年福利支出增加。</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w:t>
      </w:r>
      <w:r>
        <w:rPr>
          <w:rFonts w:hint="eastAsia" w:ascii="仿宋" w:hAnsi="仿宋" w:eastAsia="仿宋" w:cs="仿宋"/>
          <w:sz w:val="32"/>
          <w:szCs w:val="32"/>
          <w:lang w:val="en-US" w:eastAsia="zh-CN"/>
        </w:rPr>
        <w:t>14271.67</w:t>
      </w:r>
      <w:r>
        <w:rPr>
          <w:rFonts w:hint="eastAsia" w:ascii="宋体" w:hAnsi="宋体" w:eastAsia="仿宋_GB2312" w:cs="Times New Roman"/>
          <w:sz w:val="32"/>
          <w:szCs w:val="32"/>
        </w:rPr>
        <w:t>万元，主要用于以下方面：行政运行(类)支出</w:t>
      </w:r>
      <w:r>
        <w:rPr>
          <w:rFonts w:hint="eastAsia" w:ascii="宋体" w:hAnsi="宋体" w:eastAsia="仿宋_GB2312" w:cs="Times New Roman"/>
          <w:sz w:val="32"/>
          <w:szCs w:val="32"/>
          <w:lang w:val="en-US" w:eastAsia="zh-CN"/>
        </w:rPr>
        <w:t>229.91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1.61</w:t>
      </w:r>
      <w:r>
        <w:rPr>
          <w:rFonts w:hint="eastAsia" w:ascii="宋体" w:hAnsi="宋体" w:eastAsia="仿宋_GB2312" w:cs="Times New Roman"/>
          <w:sz w:val="32"/>
          <w:szCs w:val="32"/>
        </w:rPr>
        <w:t>%；一般行政管理事务(类)支出</w:t>
      </w:r>
      <w:r>
        <w:rPr>
          <w:rFonts w:hint="eastAsia" w:ascii="宋体" w:hAnsi="宋体" w:eastAsia="仿宋_GB2312" w:cs="Times New Roman"/>
          <w:sz w:val="32"/>
          <w:szCs w:val="32"/>
          <w:lang w:val="en-US" w:eastAsia="zh-CN"/>
        </w:rPr>
        <w:t>93.16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0.65</w:t>
      </w:r>
      <w:r>
        <w:rPr>
          <w:rFonts w:hint="eastAsia" w:ascii="宋体" w:hAnsi="宋体" w:eastAsia="仿宋_GB2312" w:cs="Times New Roman"/>
          <w:sz w:val="32"/>
          <w:szCs w:val="32"/>
        </w:rPr>
        <w:t>%；儿童福利(类)支出</w:t>
      </w:r>
      <w:r>
        <w:rPr>
          <w:rFonts w:hint="eastAsia" w:ascii="宋体" w:hAnsi="宋体" w:eastAsia="仿宋_GB2312" w:cs="Times New Roman"/>
          <w:sz w:val="32"/>
          <w:szCs w:val="32"/>
          <w:lang w:val="en-US" w:eastAsia="zh-CN"/>
        </w:rPr>
        <w:t>67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0.47</w:t>
      </w:r>
      <w:r>
        <w:rPr>
          <w:rFonts w:hint="eastAsia" w:ascii="宋体" w:hAnsi="宋体" w:eastAsia="仿宋_GB2312" w:cs="Times New Roman"/>
          <w:sz w:val="32"/>
          <w:szCs w:val="32"/>
        </w:rPr>
        <w:t>%；老年福利(类)支出</w:t>
      </w:r>
      <w:r>
        <w:rPr>
          <w:rFonts w:hint="eastAsia" w:ascii="宋体" w:hAnsi="宋体" w:eastAsia="仿宋_GB2312" w:cs="Times New Roman"/>
          <w:sz w:val="32"/>
          <w:szCs w:val="32"/>
          <w:lang w:val="en-US" w:eastAsia="zh-CN"/>
        </w:rPr>
        <w:t>104.4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0.73</w:t>
      </w:r>
      <w:r>
        <w:rPr>
          <w:rFonts w:hint="eastAsia" w:ascii="宋体" w:hAnsi="宋体" w:eastAsia="仿宋_GB2312" w:cs="Times New Roman"/>
          <w:sz w:val="32"/>
          <w:szCs w:val="32"/>
        </w:rPr>
        <w:t>%；残疾人生活和护理补贴(类)支出</w:t>
      </w:r>
      <w:r>
        <w:rPr>
          <w:rFonts w:hint="eastAsia" w:ascii="宋体" w:hAnsi="宋体" w:eastAsia="仿宋_GB2312" w:cs="Times New Roman"/>
          <w:sz w:val="32"/>
          <w:szCs w:val="32"/>
          <w:lang w:val="en-US" w:eastAsia="zh-CN"/>
        </w:rPr>
        <w:t>344.86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2.42</w:t>
      </w:r>
      <w:r>
        <w:rPr>
          <w:rFonts w:hint="eastAsia" w:ascii="宋体" w:hAnsi="宋体" w:eastAsia="仿宋_GB2312" w:cs="Times New Roman"/>
          <w:sz w:val="32"/>
          <w:szCs w:val="32"/>
        </w:rPr>
        <w:t>%；城市最低生活保障金(类)支出</w:t>
      </w:r>
      <w:r>
        <w:rPr>
          <w:rFonts w:hint="eastAsia" w:ascii="宋体" w:hAnsi="宋体" w:eastAsia="仿宋_GB2312" w:cs="Times New Roman"/>
          <w:sz w:val="32"/>
          <w:szCs w:val="32"/>
          <w:lang w:val="en-US" w:eastAsia="zh-CN"/>
        </w:rPr>
        <w:t>722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5.06</w:t>
      </w:r>
      <w:r>
        <w:rPr>
          <w:rFonts w:hint="eastAsia" w:ascii="宋体" w:hAnsi="宋体" w:eastAsia="仿宋_GB2312" w:cs="Times New Roman"/>
          <w:sz w:val="32"/>
          <w:szCs w:val="32"/>
        </w:rPr>
        <w:t>%；农村最低生活保障金(类)支出</w:t>
      </w:r>
      <w:r>
        <w:rPr>
          <w:rFonts w:hint="eastAsia" w:ascii="宋体" w:hAnsi="宋体" w:eastAsia="仿宋_GB2312" w:cs="Times New Roman"/>
          <w:sz w:val="32"/>
          <w:szCs w:val="32"/>
          <w:lang w:val="en-US" w:eastAsia="zh-CN"/>
        </w:rPr>
        <w:t>644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4.51</w:t>
      </w:r>
      <w:r>
        <w:rPr>
          <w:rFonts w:hint="eastAsia" w:ascii="宋体" w:hAnsi="宋体" w:eastAsia="仿宋_GB2312" w:cs="Times New Roman"/>
          <w:sz w:val="32"/>
          <w:szCs w:val="32"/>
        </w:rPr>
        <w:t>%；临时救助(类)支出</w:t>
      </w:r>
      <w:r>
        <w:rPr>
          <w:rFonts w:hint="eastAsia" w:ascii="宋体" w:hAnsi="宋体" w:eastAsia="仿宋_GB2312" w:cs="Times New Roman"/>
          <w:sz w:val="32"/>
          <w:szCs w:val="32"/>
          <w:lang w:val="en-US" w:eastAsia="zh-CN"/>
        </w:rPr>
        <w:t>70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0.49</w:t>
      </w:r>
      <w:r>
        <w:rPr>
          <w:rFonts w:hint="eastAsia" w:ascii="宋体" w:hAnsi="宋体" w:eastAsia="仿宋_GB2312" w:cs="Times New Roman"/>
          <w:sz w:val="32"/>
          <w:szCs w:val="32"/>
        </w:rPr>
        <w:t>%；城市特困人员救助供养(类)支出</w:t>
      </w:r>
      <w:r>
        <w:rPr>
          <w:rFonts w:hint="eastAsia" w:ascii="宋体" w:hAnsi="宋体" w:eastAsia="仿宋_GB2312" w:cs="Times New Roman"/>
          <w:sz w:val="32"/>
          <w:szCs w:val="32"/>
          <w:lang w:val="en-US" w:eastAsia="zh-CN"/>
        </w:rPr>
        <w:t>190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1.33</w:t>
      </w:r>
      <w:r>
        <w:rPr>
          <w:rFonts w:hint="eastAsia" w:ascii="宋体" w:hAnsi="宋体" w:eastAsia="仿宋_GB2312" w:cs="Times New Roman"/>
          <w:sz w:val="32"/>
          <w:szCs w:val="32"/>
        </w:rPr>
        <w:t>%；农村特困人员救助供养(类)支出</w:t>
      </w:r>
      <w:r>
        <w:rPr>
          <w:rFonts w:hint="eastAsia" w:ascii="宋体" w:hAnsi="宋体" w:eastAsia="仿宋_GB2312" w:cs="Times New Roman"/>
          <w:sz w:val="32"/>
          <w:szCs w:val="32"/>
          <w:lang w:val="en-US" w:eastAsia="zh-CN"/>
        </w:rPr>
        <w:t>79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0.55</w:t>
      </w:r>
      <w:r>
        <w:rPr>
          <w:rFonts w:hint="eastAsia" w:ascii="宋体" w:hAnsi="宋体" w:eastAsia="仿宋_GB2312" w:cs="Times New Roman"/>
          <w:sz w:val="32"/>
          <w:szCs w:val="32"/>
        </w:rPr>
        <w:t>%；其他社会保障和就业(类)支出</w:t>
      </w:r>
      <w:r>
        <w:rPr>
          <w:rFonts w:hint="eastAsia" w:ascii="宋体" w:hAnsi="宋体" w:eastAsia="仿宋_GB2312" w:cs="Times New Roman"/>
          <w:sz w:val="32"/>
          <w:szCs w:val="32"/>
          <w:lang w:val="en-US" w:eastAsia="zh-CN"/>
        </w:rPr>
        <w:t>11724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82.16</w:t>
      </w:r>
      <w:r>
        <w:rPr>
          <w:rFonts w:hint="eastAsia" w:ascii="宋体" w:hAnsi="宋体" w:eastAsia="仿宋_GB2312" w:cs="Times New Roman"/>
          <w:sz w:val="32"/>
          <w:szCs w:val="32"/>
        </w:rPr>
        <w:t>%；突发公共卫生事件应急处理(类)支出</w:t>
      </w:r>
      <w:r>
        <w:rPr>
          <w:rFonts w:hint="eastAsia" w:ascii="宋体" w:hAnsi="宋体" w:eastAsia="仿宋_GB2312" w:cs="Times New Roman"/>
          <w:sz w:val="32"/>
          <w:szCs w:val="32"/>
          <w:lang w:val="en-US" w:eastAsia="zh-CN"/>
        </w:rPr>
        <w:t>3.35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0.02</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eastAsia" w:ascii="仿宋" w:hAnsi="仿宋" w:eastAsia="仿宋_GB2312" w:cs="仿宋"/>
          <w:spacing w:val="4"/>
          <w:sz w:val="32"/>
          <w:szCs w:val="32"/>
          <w:highlight w:val="yellow"/>
          <w:lang w:eastAsia="zh-CN"/>
        </w:rPr>
      </w:pPr>
      <w:r>
        <w:rPr>
          <w:rFonts w:hint="eastAsia" w:ascii="宋体" w:hAnsi="宋体" w:eastAsia="仿宋_GB2312" w:cs="Times New Roman"/>
          <w:sz w:val="32"/>
          <w:szCs w:val="32"/>
        </w:rPr>
        <w:t>2020年度一般公共预算财政拨款支出当年调整预算数</w:t>
      </w:r>
      <w:r>
        <w:rPr>
          <w:rFonts w:hint="eastAsia" w:ascii="宋体" w:hAnsi="宋体" w:eastAsia="仿宋_GB2312" w:cs="Times New Roman"/>
          <w:sz w:val="32"/>
          <w:szCs w:val="32"/>
          <w:lang w:val="en-US" w:eastAsia="zh-CN"/>
        </w:rPr>
        <w:t>14491.67</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14271.67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98.48</w:t>
      </w:r>
      <w:r>
        <w:rPr>
          <w:rFonts w:hint="eastAsia" w:ascii="宋体" w:hAnsi="宋体" w:eastAsia="仿宋_GB2312" w:cs="Times New Roman"/>
          <w:sz w:val="32"/>
          <w:szCs w:val="32"/>
        </w:rPr>
        <w:t>%。决算数小于预算数的原因</w:t>
      </w:r>
      <w:r>
        <w:rPr>
          <w:rFonts w:hint="eastAsia" w:ascii="宋体" w:hAnsi="宋体" w:eastAsia="仿宋_GB2312" w:cs="Times New Roman"/>
          <w:sz w:val="32"/>
          <w:szCs w:val="32"/>
          <w:highlight w:val="none"/>
          <w:lang w:eastAsia="zh-CN"/>
        </w:rPr>
        <w:t>：未成年保护中心工程款按进度支付，结转未支付部分。</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lang w:val="en-US" w:eastAsia="zh-CN"/>
        </w:rPr>
        <w:t>239.14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218.49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201.18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17.31</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20.65</w:t>
      </w:r>
      <w:r>
        <w:rPr>
          <w:rFonts w:hint="eastAsia" w:ascii="宋体" w:hAnsi="宋体" w:eastAsia="仿宋_GB2312" w:cs="Times New Roman"/>
          <w:sz w:val="32"/>
          <w:szCs w:val="32"/>
        </w:rPr>
        <w:t>万元，主要包括商品和服务支出</w:t>
      </w:r>
      <w:r>
        <w:rPr>
          <w:rFonts w:hint="eastAsia" w:ascii="仿宋" w:hAnsi="仿宋" w:eastAsia="仿宋" w:cs="仿宋"/>
          <w:spacing w:val="4"/>
          <w:sz w:val="32"/>
          <w:szCs w:val="32"/>
          <w:lang w:val="en-US" w:eastAsia="zh-CN"/>
        </w:rPr>
        <w:t>20.65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2020年“三公”经费一般公共财政拨款支出决算</w:t>
      </w:r>
      <w:r>
        <w:rPr>
          <w:rFonts w:hint="eastAsia" w:ascii="仿宋" w:hAnsi="仿宋" w:eastAsia="仿宋" w:cs="仿宋"/>
          <w:spacing w:val="4"/>
          <w:sz w:val="32"/>
          <w:szCs w:val="32"/>
          <w:lang w:val="en-US" w:eastAsia="zh-CN"/>
        </w:rPr>
        <w:t>2.97</w:t>
      </w:r>
      <w:r>
        <w:rPr>
          <w:rFonts w:hint="eastAsia" w:ascii="宋体" w:hAnsi="宋体" w:eastAsia="仿宋_GB2312" w:cs="Times New Roman"/>
          <w:sz w:val="32"/>
          <w:szCs w:val="32"/>
        </w:rPr>
        <w:t>万元，比2019年</w:t>
      </w:r>
      <w:r>
        <w:rPr>
          <w:rFonts w:hint="eastAsia" w:ascii="仿宋" w:hAnsi="仿宋" w:eastAsia="仿宋" w:cs="仿宋"/>
          <w:spacing w:val="4"/>
          <w:sz w:val="32"/>
          <w:szCs w:val="32"/>
          <w:highlight w:val="none"/>
        </w:rPr>
        <w:t>减少</w:t>
      </w:r>
      <w:r>
        <w:rPr>
          <w:rFonts w:hint="eastAsia" w:ascii="仿宋" w:hAnsi="仿宋" w:eastAsia="仿宋" w:cs="仿宋"/>
          <w:spacing w:val="4"/>
          <w:sz w:val="32"/>
          <w:szCs w:val="32"/>
          <w:highlight w:val="none"/>
          <w:lang w:val="en-US" w:eastAsia="zh-CN"/>
        </w:rPr>
        <w:t>0.01</w:t>
      </w:r>
      <w:r>
        <w:rPr>
          <w:rFonts w:hint="eastAsia" w:ascii="宋体" w:hAnsi="宋体" w:eastAsia="仿宋_GB2312" w:cs="Times New Roman"/>
          <w:sz w:val="32"/>
          <w:szCs w:val="32"/>
          <w:highlight w:val="none"/>
        </w:rPr>
        <w:t>万元。其中：公务用车运行维护费</w:t>
      </w:r>
      <w:r>
        <w:rPr>
          <w:rFonts w:hint="eastAsia" w:ascii="仿宋" w:hAnsi="仿宋" w:eastAsia="仿宋" w:cs="仿宋"/>
          <w:spacing w:val="4"/>
          <w:sz w:val="32"/>
          <w:szCs w:val="32"/>
          <w:highlight w:val="none"/>
          <w:lang w:val="en-US" w:eastAsia="zh-CN"/>
        </w:rPr>
        <w:t>2.97</w:t>
      </w:r>
      <w:r>
        <w:rPr>
          <w:rFonts w:hint="eastAsia" w:ascii="宋体" w:hAnsi="宋体" w:eastAsia="仿宋_GB2312" w:cs="Times New Roman"/>
          <w:sz w:val="32"/>
          <w:szCs w:val="32"/>
          <w:highlight w:val="none"/>
        </w:rPr>
        <w:t>万元，比上年</w:t>
      </w:r>
      <w:r>
        <w:rPr>
          <w:rFonts w:hint="eastAsia" w:ascii="仿宋" w:hAnsi="仿宋" w:eastAsia="仿宋" w:cs="仿宋"/>
          <w:spacing w:val="4"/>
          <w:sz w:val="32"/>
          <w:szCs w:val="32"/>
          <w:highlight w:val="none"/>
        </w:rPr>
        <w:t>减少</w:t>
      </w:r>
      <w:r>
        <w:rPr>
          <w:rFonts w:hint="eastAsia" w:ascii="仿宋" w:hAnsi="仿宋" w:eastAsia="仿宋" w:cs="仿宋"/>
          <w:spacing w:val="4"/>
          <w:sz w:val="32"/>
          <w:szCs w:val="32"/>
          <w:highlight w:val="none"/>
          <w:lang w:val="en-US" w:eastAsia="zh-CN"/>
        </w:rPr>
        <w:t>0.01</w:t>
      </w:r>
      <w:r>
        <w:rPr>
          <w:rFonts w:hint="eastAsia" w:ascii="宋体" w:hAnsi="宋体" w:eastAsia="仿宋_GB2312" w:cs="Times New Roman"/>
          <w:sz w:val="32"/>
          <w:szCs w:val="32"/>
          <w:highlight w:val="none"/>
        </w:rPr>
        <w:t>万</w:t>
      </w:r>
      <w:r>
        <w:rPr>
          <w:rFonts w:hint="eastAsia" w:ascii="宋体" w:hAnsi="宋体" w:eastAsia="仿宋_GB2312" w:cs="Times New Roman"/>
          <w:sz w:val="32"/>
          <w:szCs w:val="32"/>
        </w:rPr>
        <w:t>元，</w:t>
      </w:r>
      <w:r>
        <w:rPr>
          <w:rFonts w:hint="eastAsia" w:ascii="宋体" w:hAnsi="宋体" w:eastAsia="仿宋_GB2312" w:cs="Times New Roman"/>
          <w:sz w:val="32"/>
          <w:szCs w:val="32"/>
          <w:highlight w:val="none"/>
        </w:rPr>
        <w:t>原因是</w:t>
      </w:r>
      <w:r>
        <w:rPr>
          <w:rFonts w:hint="eastAsia" w:ascii="宋体" w:hAnsi="宋体" w:eastAsia="仿宋_GB2312" w:cs="Times New Roman"/>
          <w:sz w:val="32"/>
          <w:szCs w:val="32"/>
          <w:highlight w:val="none"/>
          <w:lang w:eastAsia="zh-CN"/>
        </w:rPr>
        <w:t>：燃油费支出减少</w:t>
      </w:r>
      <w:r>
        <w:rPr>
          <w:rFonts w:hint="eastAsia" w:ascii="宋体" w:hAnsi="宋体" w:eastAsia="仿宋_GB2312" w:cs="Times New Roman"/>
          <w:sz w:val="32"/>
          <w:szCs w:val="32"/>
          <w:highlight w:val="none"/>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2020年政府性基金预算财政拨款本年收入</w:t>
      </w:r>
      <w:r>
        <w:rPr>
          <w:rFonts w:hint="eastAsia" w:ascii="宋体" w:hAnsi="宋体" w:eastAsia="仿宋_GB2312" w:cs="Times New Roman"/>
          <w:sz w:val="32"/>
          <w:szCs w:val="32"/>
          <w:lang w:val="en-US" w:eastAsia="zh-CN"/>
        </w:rPr>
        <w:t>434.55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年初结转</w:t>
      </w:r>
      <w:r>
        <w:rPr>
          <w:rFonts w:hint="eastAsia" w:ascii="宋体" w:hAnsi="宋体" w:eastAsia="仿宋_GB2312" w:cs="Times New Roman"/>
          <w:sz w:val="32"/>
          <w:szCs w:val="32"/>
          <w:lang w:val="en-US" w:eastAsia="zh-CN"/>
        </w:rPr>
        <w:t>153.5万元。</w:t>
      </w:r>
      <w:r>
        <w:rPr>
          <w:rFonts w:hint="eastAsia" w:ascii="宋体" w:hAnsi="宋体" w:eastAsia="仿宋_GB2312" w:cs="Times New Roman"/>
          <w:sz w:val="32"/>
          <w:szCs w:val="32"/>
        </w:rPr>
        <w:t>本年支出</w:t>
      </w:r>
      <w:r>
        <w:rPr>
          <w:rFonts w:hint="eastAsia" w:ascii="宋体" w:hAnsi="宋体" w:eastAsia="仿宋_GB2312" w:cs="Times New Roman"/>
          <w:sz w:val="32"/>
          <w:szCs w:val="32"/>
          <w:lang w:val="en-US" w:eastAsia="zh-CN"/>
        </w:rPr>
        <w:t>588.05</w:t>
      </w:r>
      <w:r>
        <w:rPr>
          <w:rFonts w:hint="eastAsia" w:ascii="宋体" w:hAnsi="宋体" w:eastAsia="仿宋_GB2312" w:cs="Times New Roman"/>
          <w:sz w:val="32"/>
          <w:szCs w:val="32"/>
        </w:rPr>
        <w:t>万元。具体支出情况如下:</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城乡社区支出(类)国有土地使用权出让收入安排的支出(款)其他国有土地使用权出让收入安排的支出(项)财政拨款支出</w:t>
      </w:r>
      <w:r>
        <w:rPr>
          <w:rFonts w:hint="eastAsia" w:ascii="宋体" w:hAnsi="宋体" w:eastAsia="仿宋_GB2312" w:cs="Times New Roman"/>
          <w:sz w:val="32"/>
          <w:szCs w:val="32"/>
          <w:lang w:val="en-US" w:eastAsia="zh-CN"/>
        </w:rPr>
        <w:t>9.55</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主要是用于</w:t>
      </w:r>
      <w:r>
        <w:rPr>
          <w:rFonts w:hint="eastAsia" w:ascii="宋体" w:hAnsi="宋体" w:eastAsia="仿宋_GB2312" w:cs="Times New Roman"/>
          <w:sz w:val="32"/>
          <w:szCs w:val="32"/>
          <w:highlight w:val="none"/>
          <w:lang w:eastAsia="zh-CN"/>
        </w:rPr>
        <w:t>未成年保护中心工程前期土地开垦支出。</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rPr>
        <w:t>其他支出(类)彩票公益金安排的支出(款)用于社会福利的彩票公益金支出(项)财政拨款支出</w:t>
      </w:r>
      <w:r>
        <w:rPr>
          <w:rFonts w:hint="eastAsia" w:ascii="宋体" w:hAnsi="宋体" w:eastAsia="仿宋_GB2312" w:cs="Times New Roman"/>
          <w:sz w:val="32"/>
          <w:szCs w:val="32"/>
          <w:lang w:val="en-US" w:eastAsia="zh-CN"/>
        </w:rPr>
        <w:t>578.5</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主要是用</w:t>
      </w:r>
      <w:r>
        <w:rPr>
          <w:rFonts w:hint="eastAsia" w:ascii="宋体" w:hAnsi="宋体" w:eastAsia="仿宋_GB2312" w:cs="Times New Roman"/>
          <w:sz w:val="32"/>
          <w:szCs w:val="32"/>
          <w:highlight w:val="none"/>
          <w:lang w:eastAsia="zh-CN"/>
        </w:rPr>
        <w:t>于敬老院老年日间照料支出、社区养老服务支出</w:t>
      </w:r>
      <w:r>
        <w:rPr>
          <w:rFonts w:hint="eastAsia" w:ascii="宋体" w:hAnsi="宋体" w:eastAsia="仿宋_GB2312" w:cs="Times New Roman"/>
          <w:sz w:val="32"/>
          <w:szCs w:val="32"/>
          <w:highlight w:val="none"/>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2020年我</w:t>
      </w:r>
      <w:r>
        <w:rPr>
          <w:rFonts w:hint="eastAsia" w:ascii="宋体" w:hAnsi="宋体" w:eastAsia="仿宋_GB2312" w:cs="Times New Roman"/>
          <w:sz w:val="32"/>
          <w:szCs w:val="32"/>
        </w:rPr>
        <w:t>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绩效管理情况</w:t>
      </w:r>
    </w:p>
    <w:p>
      <w:pPr>
        <w:numPr>
          <w:ilvl w:val="0"/>
          <w:numId w:val="5"/>
        </w:numPr>
        <w:rPr>
          <w:rFonts w:hint="eastAsia" w:ascii="宋体" w:hAnsi="宋体" w:eastAsia="仿宋_GB2312" w:cs="Times New Roman"/>
          <w:sz w:val="32"/>
          <w:szCs w:val="32"/>
        </w:rPr>
      </w:pPr>
      <w:r>
        <w:rPr>
          <w:rFonts w:hint="eastAsia" w:ascii="宋体" w:hAnsi="宋体" w:eastAsia="仿宋_GB2312" w:cs="Times New Roman"/>
          <w:sz w:val="32"/>
          <w:szCs w:val="32"/>
        </w:rPr>
        <w:t>项目绩效评价工作开展情况，包括项目绩效目标、支出绩效评价等情况。</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困难群众救助资金包括城乡低保救助人数22596人，儿童福利救助190人，特困人员救助人数1750人，临时救助人数为1890人，总救助金额为13476万元。</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残疾人生活和护理补贴包括困难残疾救助人数2677人，重度残疾人4104人，总救助金额344.86万元，</w:t>
      </w:r>
    </w:p>
    <w:p>
      <w:pPr>
        <w:ind w:firstLine="640" w:firstLineChars="200"/>
        <w:rPr>
          <w:rFonts w:ascii="宋体" w:hAnsi="宋体" w:eastAsia="仿宋_GB2312" w:cs="Times New Roman"/>
          <w:sz w:val="32"/>
          <w:szCs w:val="32"/>
        </w:rPr>
      </w:pPr>
      <w:r>
        <w:rPr>
          <w:rFonts w:hint="eastAsia" w:ascii="宋体" w:hAnsi="宋体" w:eastAsia="仿宋_GB2312" w:cs="Times New Roman"/>
          <w:kern w:val="2"/>
          <w:sz w:val="32"/>
          <w:szCs w:val="32"/>
          <w:lang w:val="en-US" w:eastAsia="zh-CN" w:bidi="ar-SA"/>
        </w:rPr>
        <w:t>福利彩票公益包括下达三个城市社区养老服务设施，新建未成年保护中心，城镇社区幸福养老试点工程补助，日间照料示范创建活动，总支出金额578.5万元。</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以上</w:t>
      </w: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14032.53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，政府性基金当年拨款</w:t>
      </w:r>
      <w:r>
        <w:rPr>
          <w:rFonts w:hint="eastAsia" w:ascii="宋体" w:hAnsi="宋体" w:eastAsia="仿宋_GB2312" w:cs="Times New Roman"/>
          <w:sz w:val="32"/>
          <w:szCs w:val="32"/>
          <w:lang w:val="en-US" w:eastAsia="zh-CN"/>
        </w:rPr>
        <w:t>434.55万元</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年重点民生项目保障工作，主要有城乡低保、孤儿、特困人员、流浪乞讨生活救助发放等，全力保障这些民生项目落地、生效、按规定标准时间限时发放，全力维持社会环境稳定有序。</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6D84"/>
    <w:multiLevelType w:val="singleLevel"/>
    <w:tmpl w:val="9B2B6D84"/>
    <w:lvl w:ilvl="0" w:tentative="0">
      <w:start w:val="1"/>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774AFB"/>
    <w:rsid w:val="00E4217F"/>
    <w:rsid w:val="01CC3ACE"/>
    <w:rsid w:val="022337A2"/>
    <w:rsid w:val="0315580E"/>
    <w:rsid w:val="03C027FB"/>
    <w:rsid w:val="047C4FB8"/>
    <w:rsid w:val="05B63A66"/>
    <w:rsid w:val="07FD4C6E"/>
    <w:rsid w:val="087C199C"/>
    <w:rsid w:val="0CA90476"/>
    <w:rsid w:val="0CEC4EDE"/>
    <w:rsid w:val="0F8D5320"/>
    <w:rsid w:val="115C5E4F"/>
    <w:rsid w:val="159975FA"/>
    <w:rsid w:val="1637286C"/>
    <w:rsid w:val="171323DD"/>
    <w:rsid w:val="179C7F7A"/>
    <w:rsid w:val="1AD160CC"/>
    <w:rsid w:val="1CC71341"/>
    <w:rsid w:val="1D6503A6"/>
    <w:rsid w:val="1EEC2A52"/>
    <w:rsid w:val="2724223D"/>
    <w:rsid w:val="281D4469"/>
    <w:rsid w:val="28405C19"/>
    <w:rsid w:val="29C22088"/>
    <w:rsid w:val="2A565A3D"/>
    <w:rsid w:val="2A5B2848"/>
    <w:rsid w:val="2B697E73"/>
    <w:rsid w:val="2B972D6D"/>
    <w:rsid w:val="2BF944E8"/>
    <w:rsid w:val="2CEA383D"/>
    <w:rsid w:val="2E1A1E01"/>
    <w:rsid w:val="2F67204D"/>
    <w:rsid w:val="315126F0"/>
    <w:rsid w:val="33644505"/>
    <w:rsid w:val="34F10427"/>
    <w:rsid w:val="36365ECE"/>
    <w:rsid w:val="383476A4"/>
    <w:rsid w:val="3F28132A"/>
    <w:rsid w:val="3F3E3C8E"/>
    <w:rsid w:val="407E4298"/>
    <w:rsid w:val="418B3BE6"/>
    <w:rsid w:val="42C23AEA"/>
    <w:rsid w:val="434441F2"/>
    <w:rsid w:val="44CF3D65"/>
    <w:rsid w:val="468041FB"/>
    <w:rsid w:val="4E8355A4"/>
    <w:rsid w:val="5072639B"/>
    <w:rsid w:val="50910E1A"/>
    <w:rsid w:val="5D2A1A24"/>
    <w:rsid w:val="61017F91"/>
    <w:rsid w:val="616221D0"/>
    <w:rsid w:val="62C77376"/>
    <w:rsid w:val="65821B50"/>
    <w:rsid w:val="66C07BF8"/>
    <w:rsid w:val="67AB5A91"/>
    <w:rsid w:val="6A66589D"/>
    <w:rsid w:val="6F251E1B"/>
    <w:rsid w:val="705F7333"/>
    <w:rsid w:val="74511D86"/>
    <w:rsid w:val="7A72339C"/>
    <w:rsid w:val="7D1970B0"/>
    <w:rsid w:val="7E100FE6"/>
    <w:rsid w:val="7E1751EF"/>
    <w:rsid w:val="7E3F0B7D"/>
    <w:rsid w:val="7EAFF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41</TotalTime>
  <ScaleCrop>false</ScaleCrop>
  <LinksUpToDate>false</LinksUpToDate>
  <CharactersWithSpaces>3558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2023-02-20T10:29:51Z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440C493D51744D8F91E8ABBD4C63E179</vt:lpwstr>
  </property>
</Properties>
</file>