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48"/>
          <w:szCs w:val="48"/>
        </w:rPr>
      </w:pPr>
    </w:p>
    <w:p>
      <w:pPr>
        <w:jc w:val="center"/>
        <w:rPr>
          <w:rFonts w:ascii="黑体" w:eastAsia="黑体"/>
          <w:sz w:val="44"/>
          <w:szCs w:val="44"/>
        </w:rPr>
      </w:pPr>
      <w:r>
        <w:rPr>
          <w:rFonts w:hint="eastAsia" w:ascii="黑体" w:eastAsia="黑体"/>
          <w:sz w:val="44"/>
          <w:szCs w:val="44"/>
        </w:rPr>
        <w:t>朔州市朔城区市场监督管理局2020年部门决算公开情况说明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1、负责全区市场综合监督管理。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2、负责全区市场主体统一登记注册。</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3、负责组织和指导全区市场监管综合执法工作。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4、负责全区反垄断执法工作。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5、负责监督管理市场秩序。</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6、负责全区宏观质量管理。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7、负责全区产品质量安全监督管理。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8、负责全区食品安全监督管理综合协调。</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9、负责全区特种设备安全监督管理。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10、负责全区食品安全监督管理。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11、负责统一管理全区计量工作。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12、负责统一管理全区标准化工作。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13、负责统一管理、监督全区认证认可、检验检测工作。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14、负责全区知识产权工作。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15、负责市场监督管理科技和信息化建设、新闻宣传。</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16、负责药品、医疗器械和化妆品安全监督管理、监督检查。</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17、负责药品、医疗器械和化妆品标准、质量管理。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18、依法承担药品、医疗器械和化妆品安全应急管理工作。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19、完成区委、区政府交办的其它任务。</w:t>
      </w:r>
    </w:p>
    <w:p>
      <w:pPr>
        <w:ind w:firstLine="320" w:firstLineChars="100"/>
        <w:rPr>
          <w:rFonts w:ascii="仿宋" w:hAnsi="仿宋" w:eastAsia="仿宋" w:cs="仿宋"/>
          <w:sz w:val="32"/>
          <w:szCs w:val="32"/>
        </w:rPr>
      </w:pPr>
      <w:r>
        <w:rPr>
          <w:rFonts w:hint="eastAsia" w:ascii="仿宋" w:hAnsi="仿宋" w:eastAsia="仿宋" w:cs="仿宋"/>
          <w:sz w:val="32"/>
          <w:szCs w:val="32"/>
        </w:rPr>
        <w:t>（二）部门机构设置</w:t>
      </w:r>
    </w:p>
    <w:p>
      <w:pPr>
        <w:spacing w:line="204" w:lineRule="auto"/>
        <w:ind w:firstLine="667"/>
        <w:jc w:val="left"/>
        <w:rPr>
          <w:rFonts w:ascii="宋体" w:hAnsi="宋体" w:eastAsia="仿宋_GB2312" w:cs="Times New Roman"/>
          <w:sz w:val="32"/>
          <w:szCs w:val="32"/>
        </w:rPr>
      </w:pPr>
      <w:r>
        <w:rPr>
          <w:rFonts w:hint="eastAsia" w:ascii="黑体" w:eastAsia="黑体"/>
          <w:sz w:val="24"/>
        </w:rPr>
        <w:t xml:space="preserve"> </w:t>
      </w:r>
      <w:r>
        <w:rPr>
          <w:rFonts w:hint="eastAsia" w:ascii="宋体" w:hAnsi="宋体" w:eastAsia="仿宋_GB2312" w:cs="Times New Roman"/>
          <w:sz w:val="32"/>
          <w:szCs w:val="32"/>
        </w:rPr>
        <w:t>本单位内设21个科室，6个市场监管所，下属3个单位。从预算单位构成看，朔州市朔城区市场监督管理局部门决算包括：本级决算、所属朔州市朔城区消费者协会、朔州市朔城区个体劳动者协会和朔州市朔城区私营企业协会单位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计2223.46万元 、 支 出 总 计2223.46万元。与 2019年相比,收入总计增加108.18万元，支出总计增加</w:t>
      </w:r>
      <w:r>
        <w:rPr>
          <w:rFonts w:ascii="仿宋" w:hAnsi="仿宋" w:eastAsia="仿宋" w:cs="仿宋"/>
          <w:spacing w:val="-34"/>
          <w:sz w:val="32"/>
          <w:szCs w:val="32"/>
        </w:rPr>
        <w:t xml:space="preserve"> </w:t>
      </w:r>
      <w:r>
        <w:rPr>
          <w:rFonts w:hint="eastAsia" w:ascii="仿宋" w:hAnsi="仿宋" w:eastAsia="仿宋" w:cs="仿宋"/>
          <w:spacing w:val="-34"/>
          <w:sz w:val="32"/>
          <w:szCs w:val="32"/>
        </w:rPr>
        <w:t>159.57</w:t>
      </w:r>
      <w:r>
        <w:rPr>
          <w:rFonts w:hint="eastAsia" w:ascii="宋体" w:hAnsi="宋体" w:eastAsia="仿宋_GB2312" w:cs="Times New Roman"/>
          <w:sz w:val="32"/>
          <w:szCs w:val="32"/>
        </w:rPr>
        <w:t>万元。主要原因是：项目支出增加，项目名称为：抽检、创建食品示范区等费用。</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本年收入合计2152.65万元，其中：财政拨款收入2152.65万元；上级补助收入0万元；事业收入 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本年支出合计2223.46万元 ，其中：基本支出1849.49万元 ；项目支出373.97万元；上缴上级支出0万元，经营支出0万元；对附属单位补助支出0万元。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年度财政拨款收入总计2223.46万元、支出总计2223.46万元。与 2019 年相比，财政拨款收入总计增加108.18万元，增长5%。主要原因是：项目支出增加，项目名称为：抽检、创建食品示范区等费用。</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抽检、创建食品示范区等费用。</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2020 年度财政拨款支出2213.46</w:t>
      </w:r>
      <w:r>
        <w:rPr>
          <w:rFonts w:hint="eastAsia" w:ascii="仿宋" w:hAnsi="仿宋" w:eastAsia="仿宋" w:cs="仿宋"/>
          <w:sz w:val="32"/>
          <w:szCs w:val="32"/>
        </w:rPr>
        <w:t xml:space="preserve"> </w:t>
      </w:r>
      <w:r>
        <w:rPr>
          <w:rFonts w:hint="eastAsia" w:ascii="宋体" w:hAnsi="宋体" w:eastAsia="仿宋_GB2312" w:cs="Times New Roman"/>
          <w:sz w:val="32"/>
          <w:szCs w:val="32"/>
        </w:rPr>
        <w:t>万元，与 2019 年相比，财政拨款支出增加98.18</w:t>
      </w:r>
      <w:r>
        <w:rPr>
          <w:rFonts w:ascii="仿宋" w:hAnsi="仿宋" w:eastAsia="仿宋" w:cs="仿宋"/>
          <w:spacing w:val="-34"/>
          <w:sz w:val="32"/>
          <w:szCs w:val="32"/>
        </w:rPr>
        <w:t xml:space="preserve"> </w:t>
      </w:r>
      <w:r>
        <w:rPr>
          <w:rFonts w:hint="eastAsia" w:ascii="宋体" w:hAnsi="宋体" w:eastAsia="仿宋_GB2312" w:cs="Times New Roman"/>
          <w:sz w:val="32"/>
          <w:szCs w:val="32"/>
        </w:rPr>
        <w:t>万元。主要原因是：项目支出增加，项目名称为：抽检、创建食品示范区等费用。</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2223.46万元，主要用于以下方面：2013801科目(类)支出1626.61万元，占73%；2013802科目(类)支出232.82万元，占10%；2013804科目(类)支出9万元，占0.5%；2013816科目(类)支出126.10万元，占6%；2013850科目(类)支出142.47万元，占6%；2013899科目(类)支出9万元，占0.5%；2080801科目(类)支出20.21万元，占1%；2100410科目(类)支出47.24万元，占2%；2340299科目(类)支出10万元，占1%</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_GB2312" w:cs="仿宋"/>
          <w:spacing w:val="4"/>
          <w:sz w:val="32"/>
          <w:szCs w:val="32"/>
        </w:rPr>
      </w:pPr>
      <w:r>
        <w:rPr>
          <w:rFonts w:hint="eastAsia" w:ascii="宋体" w:hAnsi="宋体" w:eastAsia="仿宋_GB2312" w:cs="Times New Roman"/>
          <w:sz w:val="32"/>
          <w:szCs w:val="32"/>
        </w:rPr>
        <w:t>2020年度一般公共预算财政拨款支出当年调整预算数2213.46万元，支出决算为</w:t>
      </w:r>
      <w:r>
        <w:rPr>
          <w:rFonts w:hint="eastAsia" w:ascii="仿宋" w:hAnsi="仿宋" w:eastAsia="仿宋" w:cs="仿宋"/>
          <w:sz w:val="32"/>
          <w:szCs w:val="32"/>
        </w:rPr>
        <w:t>2213.46</w:t>
      </w:r>
      <w:r>
        <w:rPr>
          <w:rFonts w:hint="eastAsia" w:ascii="宋体" w:hAnsi="宋体" w:eastAsia="仿宋_GB2312" w:cs="Times New Roman"/>
          <w:sz w:val="32"/>
          <w:szCs w:val="32"/>
        </w:rPr>
        <w:t>万元，完成当年调整预算的0%。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年度财政拨款基本支出1849.49万元，其中：人员经费1433.44万元，主要包括工资福利支出1389.81万元和对个人和家庭的补助43.63万元；公用经费416.05万元，主要包括商品和服务支出 409.35万元和资本性支出6.70万元。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2020年“三公”经费一般公共财政拨款支出决算8.31万元，比2019年减少0.27万元。其中：因公出国（境）费用0万元，比上年增加</w:t>
      </w:r>
      <w:r>
        <w:rPr>
          <w:rFonts w:hint="eastAsia" w:ascii="仿宋" w:hAnsi="仿宋" w:eastAsia="仿宋" w:cs="仿宋"/>
          <w:spacing w:val="4"/>
          <w:sz w:val="32"/>
          <w:szCs w:val="32"/>
        </w:rPr>
        <w:t>(减少)0</w:t>
      </w:r>
      <w:r>
        <w:rPr>
          <w:rFonts w:hint="eastAsia" w:ascii="宋体" w:hAnsi="宋体" w:eastAsia="仿宋_GB2312" w:cs="Times New Roman"/>
          <w:sz w:val="32"/>
          <w:szCs w:val="32"/>
        </w:rPr>
        <w:t>万元；公务接待费0万元，比上年增加</w:t>
      </w:r>
      <w:r>
        <w:rPr>
          <w:rFonts w:hint="eastAsia" w:ascii="仿宋" w:hAnsi="仿宋" w:eastAsia="仿宋" w:cs="仿宋"/>
          <w:spacing w:val="4"/>
          <w:sz w:val="32"/>
          <w:szCs w:val="32"/>
        </w:rPr>
        <w:t>(减少）0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rPr>
        <w:t>8.31</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减少0.27</w:t>
      </w:r>
      <w:r>
        <w:rPr>
          <w:rFonts w:hint="eastAsia" w:ascii="宋体" w:hAnsi="宋体" w:eastAsia="仿宋_GB2312" w:cs="Times New Roman"/>
          <w:sz w:val="32"/>
          <w:szCs w:val="32"/>
        </w:rPr>
        <w:t>万元，原因是执行中央八项规定及其实施细则精神压减三公经费；公务用车购置费0万元，比上年增加</w:t>
      </w:r>
      <w:r>
        <w:rPr>
          <w:rFonts w:hint="eastAsia" w:ascii="仿宋" w:hAnsi="仿宋" w:eastAsia="仿宋" w:cs="仿宋"/>
          <w:spacing w:val="4"/>
          <w:sz w:val="32"/>
          <w:szCs w:val="32"/>
        </w:rPr>
        <w:t>(减少)0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2020年政府性基金预算财政拨款本年收入10万元，本年支出10万元。具体支出情况如下: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234科目(类)23402科目(款)2340299科目(项)财政拨款支出10万元，主要是用于抗疫相关支出。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单位机关运行经费支出416.05万元，比2019年增加299.76万元，增长72%，主要原因是项目支出增加，项目名称为：抽检、创建食品示范区等费用。</w:t>
      </w:r>
    </w:p>
    <w:p>
      <w:pPr>
        <w:spacing w:line="204" w:lineRule="auto"/>
        <w:jc w:val="left"/>
        <w:rPr>
          <w:rFonts w:ascii="楷体" w:hAnsi="楷体" w:eastAsia="楷体" w:cs="楷体"/>
          <w:spacing w:val="-3"/>
          <w:sz w:val="32"/>
          <w:szCs w:val="32"/>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w:t>
      </w:r>
      <w:r>
        <w:rPr>
          <w:rFonts w:hint="eastAsia" w:ascii="仿宋" w:hAnsi="仿宋" w:eastAsia="仿宋" w:cs="仿宋"/>
          <w:spacing w:val="4"/>
          <w:sz w:val="32"/>
          <w:szCs w:val="32"/>
        </w:rPr>
        <w:t>125.49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0</w:t>
      </w:r>
      <w:r>
        <w:rPr>
          <w:rFonts w:hint="eastAsia" w:ascii="宋体" w:hAnsi="宋体" w:eastAsia="仿宋_GB2312" w:cs="Times New Roman"/>
          <w:sz w:val="32"/>
          <w:szCs w:val="32"/>
        </w:rPr>
        <w:t>万元、政府采购工程0万元、政府采购服务125.49万元。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截至2020年12月31日，本部门共有车辆21辆，其中，主要领导干部用车0辆、机要通信用车0辆、应急保障用车0辆、执法执勤用车21辆、特 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2"/>
        <w:rPr>
          <w:rFonts w:eastAsia="楷体"/>
        </w:rPr>
      </w:pPr>
      <w:r>
        <w:rPr>
          <w:rFonts w:hint="eastAsia" w:ascii="楷体" w:hAnsi="楷体" w:eastAsia="楷体" w:cs="楷体"/>
          <w:spacing w:val="-3"/>
          <w:sz w:val="32"/>
          <w:szCs w:val="32"/>
        </w:rPr>
        <w:t>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3B23CE"/>
    <w:rsid w:val="00774AFB"/>
    <w:rsid w:val="00E4217F"/>
    <w:rsid w:val="00E93E4C"/>
    <w:rsid w:val="01DE2D35"/>
    <w:rsid w:val="05F83BFB"/>
    <w:rsid w:val="17911FD3"/>
    <w:rsid w:val="399D4C2F"/>
    <w:rsid w:val="3F28132A"/>
    <w:rsid w:val="6B804D79"/>
    <w:rsid w:val="6FFFF396"/>
    <w:rsid w:val="777D2796"/>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3189</Words>
  <Characters>890</Characters>
  <Lines>7</Lines>
  <Paragraphs>8</Paragraphs>
  <TotalTime>8</TotalTime>
  <ScaleCrop>false</ScaleCrop>
  <LinksUpToDate>false</LinksUpToDate>
  <CharactersWithSpaces>4071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2021-10-29T18:29:00Z</cp:lastPrinted>
  <dcterms:modified xsi:type="dcterms:W3CDTF">2023-02-20T10:32:37Z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81A3AD671BCE4A0A8C510C28DA0C744C</vt:lpwstr>
  </property>
</Properties>
</file>