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color w:val="000000" w:themeColor="text1"/>
          <w:sz w:val="44"/>
          <w:szCs w:val="44"/>
          <w14:textFill>
            <w14:solidFill>
              <w14:schemeClr w14:val="tx1"/>
            </w14:solidFill>
          </w14:textFill>
        </w:rPr>
      </w:pPr>
      <w:bookmarkStart w:id="0" w:name="_Toc4691_WPSOffice_Level1"/>
      <w:bookmarkStart w:id="1" w:name="_Toc8044_WPSOffice_Level1"/>
      <w:r>
        <w:rPr>
          <w:rFonts w:hint="eastAsia" w:ascii="黑体" w:eastAsia="黑体"/>
          <w:color w:val="000000" w:themeColor="text1"/>
          <w:sz w:val="44"/>
          <w:szCs w:val="44"/>
          <w:lang w:val="en-US" w:eastAsia="zh-CN"/>
          <w14:textFill>
            <w14:solidFill>
              <w14:schemeClr w14:val="tx1"/>
            </w14:solidFill>
          </w14:textFill>
        </w:rPr>
        <w:t>朔州市朔城区南城街道办事处</w:t>
      </w:r>
      <w:r>
        <w:rPr>
          <w:rFonts w:hint="eastAsia" w:ascii="黑体" w:eastAsia="黑体"/>
          <w:color w:val="000000" w:themeColor="text1"/>
          <w:sz w:val="44"/>
          <w:szCs w:val="44"/>
          <w14:textFill>
            <w14:solidFill>
              <w14:schemeClr w14:val="tx1"/>
            </w14:solidFill>
          </w14:textFill>
        </w:rPr>
        <w:t>202</w:t>
      </w:r>
      <w:r>
        <w:rPr>
          <w:rFonts w:hint="eastAsia" w:ascii="黑体" w:eastAsia="黑体"/>
          <w:color w:val="000000" w:themeColor="text1"/>
          <w:sz w:val="44"/>
          <w:szCs w:val="44"/>
          <w:lang w:val="en-US" w:eastAsia="zh-CN"/>
          <w14:textFill>
            <w14:solidFill>
              <w14:schemeClr w14:val="tx1"/>
            </w14:solidFill>
          </w14:textFill>
        </w:rPr>
        <w:t>1</w:t>
      </w:r>
      <w:r>
        <w:rPr>
          <w:rFonts w:hint="eastAsia" w:ascii="黑体" w:eastAsia="黑体"/>
          <w:color w:val="000000" w:themeColor="text1"/>
          <w:sz w:val="44"/>
          <w:szCs w:val="44"/>
          <w14:textFill>
            <w14:solidFill>
              <w14:schemeClr w14:val="tx1"/>
            </w14:solidFill>
          </w14:textFill>
        </w:rPr>
        <w:t>年部门决算公开情况说明</w:t>
      </w:r>
    </w:p>
    <w:p>
      <w:pPr>
        <w:spacing w:line="360" w:lineRule="auto"/>
        <w:jc w:val="center"/>
        <w:rPr>
          <w:rFonts w:ascii="宋体" w:hAnsi="宋体" w:cs="宋体"/>
          <w:sz w:val="44"/>
          <w:szCs w:val="44"/>
        </w:rPr>
      </w:pPr>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keepNext w:val="0"/>
        <w:keepLines w:val="0"/>
        <w:pageBreakBefore w:val="0"/>
        <w:kinsoku/>
        <w:overflowPunct/>
        <w:topLinePunct w:val="0"/>
        <w:autoSpaceDE/>
        <w:bidi w:val="0"/>
        <w:adjustRightInd/>
        <w:snapToGrid/>
        <w:spacing w:line="240" w:lineRule="auto"/>
        <w:ind w:firstLine="64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b w:val="0"/>
          <w:bCs w:val="0"/>
          <w:i w:val="0"/>
          <w:iCs w:val="0"/>
          <w:caps w:val="0"/>
          <w:color w:val="000000" w:themeColor="text1"/>
          <w:spacing w:val="0"/>
          <w:kern w:val="0"/>
          <w:sz w:val="30"/>
          <w:szCs w:val="30"/>
          <w:shd w:val="clear" w:color="auto" w:fill="FFFFFF"/>
          <w:lang w:val="en-US" w:eastAsia="zh-CN" w:bidi="ar"/>
          <w14:textFill>
            <w14:solidFill>
              <w14:schemeClr w14:val="tx1"/>
            </w14:solidFill>
          </w14:textFill>
        </w:rPr>
        <w:t>执行党的路线、方针、政策和国家的法律、法规。执行上级党委、政府的决定和命令以及人民代表大会的决议。贯彻落实区委、区政府的重大决策和重要工作部署。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adjustRightInd/>
        <w:snapToGrid/>
        <w:spacing w:before="0" w:beforeAutospacing="0" w:after="0" w:afterAutospacing="0" w:line="240" w:lineRule="auto"/>
        <w:ind w:left="0" w:right="0" w:firstLine="560"/>
        <w:jc w:val="left"/>
        <w:rPr>
          <w:rFonts w:hint="eastAsia" w:ascii="仿宋" w:hAnsi="仿宋" w:eastAsia="仿宋" w:cs="仿宋"/>
          <w:b w:val="0"/>
          <w:bCs w:val="0"/>
          <w:i w:val="0"/>
          <w:iCs w:val="0"/>
          <w:caps w:val="0"/>
          <w:color w:val="000000" w:themeColor="text1"/>
          <w:spacing w:val="0"/>
          <w:kern w:val="0"/>
          <w:sz w:val="30"/>
          <w:szCs w:val="30"/>
          <w:shd w:val="clear" w:color="auto" w:fill="FFFFFF"/>
          <w:lang w:val="en-US" w:eastAsia="zh-CN" w:bidi="ar"/>
          <w14:textFill>
            <w14:solidFill>
              <w14:schemeClr w14:val="tx1"/>
            </w14:solidFill>
          </w14:textFill>
        </w:rPr>
      </w:pPr>
      <w:r>
        <w:rPr>
          <w:rFonts w:hint="eastAsia" w:ascii="仿宋" w:hAnsi="仿宋" w:eastAsia="仿宋" w:cs="仿宋"/>
          <w:b w:val="0"/>
          <w:bCs w:val="0"/>
          <w:i w:val="0"/>
          <w:iCs w:val="0"/>
          <w:caps w:val="0"/>
          <w:color w:val="000000" w:themeColor="text1"/>
          <w:spacing w:val="0"/>
          <w:kern w:val="0"/>
          <w:sz w:val="30"/>
          <w:szCs w:val="30"/>
          <w:shd w:val="clear" w:color="auto" w:fill="FFFFFF"/>
          <w:lang w:val="en-US" w:eastAsia="zh-CN" w:bidi="ar"/>
          <w14:textFill>
            <w14:solidFill>
              <w14:schemeClr w14:val="tx1"/>
            </w14:solidFill>
          </w14:textFill>
        </w:rPr>
        <w:t>2、制定并组织实施本办事处社会和经济发展规划。预算和管理本行政区域内的经济、教育、科学、文化、卫生、体育事业以及财政、民政、公安、司法、计划生育等综合性工作。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adjustRightInd/>
        <w:snapToGrid/>
        <w:spacing w:before="0" w:beforeAutospacing="0" w:after="0" w:afterAutospacing="0" w:line="240" w:lineRule="auto"/>
        <w:ind w:left="0" w:right="0" w:firstLine="560"/>
        <w:jc w:val="left"/>
        <w:rPr>
          <w:rFonts w:hint="default" w:ascii="仿宋" w:hAnsi="仿宋" w:eastAsia="仿宋" w:cs="仿宋"/>
          <w:b w:val="0"/>
          <w:bCs w:val="0"/>
          <w:i w:val="0"/>
          <w:iCs w:val="0"/>
          <w:caps w:val="0"/>
          <w:color w:val="000000" w:themeColor="text1"/>
          <w:spacing w:val="0"/>
          <w:kern w:val="0"/>
          <w:sz w:val="30"/>
          <w:szCs w:val="30"/>
          <w:shd w:val="clear" w:color="auto" w:fill="FFFFFF"/>
          <w:lang w:val="en-US" w:eastAsia="zh-CN" w:bidi="ar"/>
          <w14:textFill>
            <w14:solidFill>
              <w14:schemeClr w14:val="tx1"/>
            </w14:solidFill>
          </w14:textFill>
        </w:rPr>
      </w:pPr>
      <w:r>
        <w:rPr>
          <w:rFonts w:hint="eastAsia" w:ascii="仿宋" w:hAnsi="仿宋" w:eastAsia="仿宋" w:cs="仿宋"/>
          <w:b w:val="0"/>
          <w:bCs w:val="0"/>
          <w:i w:val="0"/>
          <w:iCs w:val="0"/>
          <w:caps w:val="0"/>
          <w:color w:val="000000" w:themeColor="text1"/>
          <w:spacing w:val="0"/>
          <w:kern w:val="0"/>
          <w:sz w:val="30"/>
          <w:szCs w:val="30"/>
          <w:shd w:val="clear" w:color="auto" w:fill="FFFFFF"/>
          <w:lang w:val="en-US" w:eastAsia="zh-CN" w:bidi="ar"/>
          <w14:textFill>
            <w14:solidFill>
              <w14:schemeClr w14:val="tx1"/>
            </w14:solidFill>
          </w14:textFill>
        </w:rPr>
        <w:t>3、按计划组织本级财政收入，完成财政计划，管好财政资金，增强财政实力。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adjustRightInd/>
        <w:snapToGrid/>
        <w:spacing w:before="0" w:beforeAutospacing="0" w:after="0" w:afterAutospacing="0" w:line="240" w:lineRule="auto"/>
        <w:ind w:left="0" w:right="0" w:firstLine="560"/>
        <w:jc w:val="left"/>
        <w:rPr>
          <w:rFonts w:hint="default" w:ascii="仿宋" w:hAnsi="仿宋" w:eastAsia="仿宋" w:cs="仿宋"/>
          <w:b w:val="0"/>
          <w:bCs w:val="0"/>
          <w:i w:val="0"/>
          <w:iCs w:val="0"/>
          <w:caps w:val="0"/>
          <w:color w:val="000000" w:themeColor="text1"/>
          <w:spacing w:val="0"/>
          <w:kern w:val="0"/>
          <w:sz w:val="30"/>
          <w:szCs w:val="30"/>
          <w:shd w:val="clear" w:color="auto" w:fill="FFFFFF"/>
          <w:lang w:val="en-US" w:eastAsia="zh-CN" w:bidi="ar"/>
          <w14:textFill>
            <w14:solidFill>
              <w14:schemeClr w14:val="tx1"/>
            </w14:solidFill>
          </w14:textFill>
        </w:rPr>
      </w:pPr>
      <w:r>
        <w:rPr>
          <w:rFonts w:hint="eastAsia" w:ascii="仿宋" w:hAnsi="仿宋" w:eastAsia="仿宋" w:cs="仿宋"/>
          <w:b w:val="0"/>
          <w:bCs w:val="0"/>
          <w:i w:val="0"/>
          <w:iCs w:val="0"/>
          <w:caps w:val="0"/>
          <w:color w:val="000000" w:themeColor="text1"/>
          <w:spacing w:val="0"/>
          <w:kern w:val="0"/>
          <w:sz w:val="30"/>
          <w:szCs w:val="30"/>
          <w:shd w:val="clear" w:color="auto" w:fill="FFFFFF"/>
          <w:lang w:val="en-US" w:eastAsia="zh-CN" w:bidi="ar"/>
          <w14:textFill>
            <w14:solidFill>
              <w14:schemeClr w14:val="tx1"/>
            </w14:solidFill>
          </w14:textFill>
        </w:rPr>
        <w:t>4、向本级党委、政府报告工作。组织指导好各业生产和村委会的工作，抓好基层政权建设、乡村建设和精神文明建设，促进各项社会事业的健康发展。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adjustRightInd/>
        <w:snapToGrid/>
        <w:spacing w:before="0" w:beforeAutospacing="0" w:after="0" w:afterAutospacing="0" w:line="240" w:lineRule="auto"/>
        <w:ind w:left="0" w:right="0" w:firstLine="560"/>
        <w:jc w:val="left"/>
        <w:rPr>
          <w:rFonts w:hint="eastAsia" w:ascii="仿宋" w:hAnsi="仿宋" w:eastAsia="仿宋" w:cs="仿宋"/>
          <w:b w:val="0"/>
          <w:bCs w:val="0"/>
          <w:i w:val="0"/>
          <w:iCs w:val="0"/>
          <w:color w:val="000000" w:themeColor="text1"/>
          <w:sz w:val="30"/>
          <w:szCs w:val="30"/>
          <w14:textFill>
            <w14:solidFill>
              <w14:schemeClr w14:val="tx1"/>
            </w14:solidFill>
          </w14:textFill>
        </w:rPr>
      </w:pPr>
      <w:r>
        <w:rPr>
          <w:rFonts w:hint="eastAsia" w:ascii="仿宋" w:hAnsi="仿宋" w:eastAsia="仿宋" w:cs="仿宋"/>
          <w:b w:val="0"/>
          <w:bCs w:val="0"/>
          <w:i w:val="0"/>
          <w:iCs w:val="0"/>
          <w:caps w:val="0"/>
          <w:color w:val="000000" w:themeColor="text1"/>
          <w:spacing w:val="0"/>
          <w:kern w:val="0"/>
          <w:sz w:val="30"/>
          <w:szCs w:val="30"/>
          <w:shd w:val="clear" w:color="auto" w:fill="FFFFFF"/>
          <w:lang w:val="en-US" w:eastAsia="zh-CN" w:bidi="ar"/>
          <w14:textFill>
            <w14:solidFill>
              <w14:schemeClr w14:val="tx1"/>
            </w14:solidFill>
          </w14:textFill>
        </w:rPr>
        <w:t>5、保护社会公民所有的合法财产和劳动群众集体所有财产。维护一切经济单位和个人的正当合法经济权益。保障公民的人身权利、民主权利和其他权利。加强综合治理，处理好各种利益矛盾，维护社会稳定。</w:t>
      </w:r>
    </w:p>
    <w:p>
      <w:pPr>
        <w:keepNext w:val="0"/>
        <w:keepLines w:val="0"/>
        <w:pageBreakBefore w:val="0"/>
        <w:numPr>
          <w:ilvl w:val="0"/>
          <w:numId w:val="0"/>
        </w:numPr>
        <w:kinsoku/>
        <w:overflowPunct/>
        <w:topLinePunct w:val="0"/>
        <w:autoSpaceDE/>
        <w:bidi w:val="0"/>
        <w:adjustRightInd/>
        <w:snapToGrid/>
        <w:spacing w:line="240" w:lineRule="auto"/>
        <w:ind w:firstLine="600" w:firstLineChars="200"/>
        <w:rPr>
          <w:rFonts w:ascii="仿宋" w:hAnsi="仿宋" w:eastAsia="仿宋" w:cs="仿宋"/>
          <w:sz w:val="32"/>
          <w:szCs w:val="32"/>
        </w:rPr>
      </w:pPr>
      <w:r>
        <w:rPr>
          <w:rFonts w:hint="eastAsia" w:ascii="仿宋" w:hAnsi="仿宋" w:eastAsia="仿宋" w:cs="仿宋"/>
          <w:color w:val="000000" w:themeColor="text1"/>
          <w:sz w:val="30"/>
          <w:szCs w:val="30"/>
          <w:lang w:val="en-US" w:eastAsia="zh-CN"/>
          <w14:textFill>
            <w14:solidFill>
              <w14:schemeClr w14:val="tx1"/>
            </w14:solidFill>
          </w14:textFill>
        </w:rPr>
        <w:t>6、</w:t>
      </w:r>
      <w:r>
        <w:rPr>
          <w:rFonts w:hint="eastAsia" w:ascii="仿宋" w:hAnsi="仿宋" w:eastAsia="仿宋" w:cs="仿宋"/>
          <w:b w:val="0"/>
          <w:bCs w:val="0"/>
          <w:i w:val="0"/>
          <w:iCs w:val="0"/>
          <w:caps w:val="0"/>
          <w:color w:val="000000" w:themeColor="text1"/>
          <w:spacing w:val="0"/>
          <w:kern w:val="0"/>
          <w:sz w:val="30"/>
          <w:szCs w:val="30"/>
          <w:shd w:val="clear" w:color="auto" w:fill="FFFFFF"/>
          <w:lang w:val="en-US" w:eastAsia="zh-CN" w:bidi="ar"/>
          <w14:textFill>
            <w14:solidFill>
              <w14:schemeClr w14:val="tx1"/>
            </w14:solidFill>
          </w14:textFill>
        </w:rPr>
        <w:t>完成上级党委、政府下达的其他各项工作任务。</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hint="eastAsia" w:ascii="宋体" w:hAnsi="宋体" w:eastAsia="仿宋_GB2312" w:cs="Times New Roman"/>
          <w:color w:val="000000" w:themeColor="text1"/>
          <w:sz w:val="32"/>
          <w:szCs w:val="32"/>
          <w:lang w:eastAsia="zh-CN"/>
          <w14:textFill>
            <w14:solidFill>
              <w14:schemeClr w14:val="tx1"/>
            </w14:solidFill>
          </w14:textFill>
        </w:rPr>
      </w:pPr>
      <w:r>
        <w:rPr>
          <w:rFonts w:hint="eastAsia" w:ascii="宋体" w:hAnsi="宋体" w:eastAsia="仿宋_GB2312" w:cs="Times New Roman"/>
          <w:color w:val="000000" w:themeColor="text1"/>
          <w:sz w:val="32"/>
          <w:szCs w:val="32"/>
          <w14:textFill>
            <w14:solidFill>
              <w14:schemeClr w14:val="tx1"/>
            </w14:solidFill>
          </w14:textFill>
        </w:rPr>
        <w:t>本单位内设</w:t>
      </w:r>
      <w:r>
        <w:rPr>
          <w:rFonts w:hint="eastAsia" w:ascii="宋体" w:hAnsi="宋体" w:eastAsia="仿宋_GB2312" w:cs="Times New Roman"/>
          <w:color w:val="000000" w:themeColor="text1"/>
          <w:sz w:val="32"/>
          <w:szCs w:val="32"/>
          <w:lang w:val="en-US" w:eastAsia="zh-CN"/>
          <w14:textFill>
            <w14:solidFill>
              <w14:schemeClr w14:val="tx1"/>
            </w14:solidFill>
          </w14:textFill>
        </w:rPr>
        <w:t>15</w:t>
      </w:r>
      <w:r>
        <w:rPr>
          <w:rFonts w:hint="eastAsia" w:ascii="宋体" w:hAnsi="宋体" w:eastAsia="仿宋_GB2312" w:cs="Times New Roman"/>
          <w:color w:val="000000" w:themeColor="text1"/>
          <w:sz w:val="32"/>
          <w:szCs w:val="32"/>
          <w14:textFill>
            <w14:solidFill>
              <w14:schemeClr w14:val="tx1"/>
            </w14:solidFill>
          </w14:textFill>
        </w:rPr>
        <w:t>个科室，</w:t>
      </w:r>
      <w:r>
        <w:rPr>
          <w:rFonts w:hint="eastAsia" w:ascii="宋体" w:hAnsi="宋体" w:eastAsia="仿宋_GB2312" w:cs="Times New Roman"/>
          <w:color w:val="000000" w:themeColor="text1"/>
          <w:sz w:val="32"/>
          <w:szCs w:val="32"/>
          <w:lang w:val="en-US" w:eastAsia="zh-CN"/>
          <w14:textFill>
            <w14:solidFill>
              <w14:schemeClr w14:val="tx1"/>
            </w14:solidFill>
          </w14:textFill>
        </w:rPr>
        <w:t>无</w:t>
      </w:r>
      <w:r>
        <w:rPr>
          <w:rFonts w:hint="eastAsia" w:ascii="宋体" w:hAnsi="宋体" w:eastAsia="仿宋_GB2312" w:cs="Times New Roman"/>
          <w:color w:val="000000" w:themeColor="text1"/>
          <w:sz w:val="32"/>
          <w:szCs w:val="32"/>
          <w14:textFill>
            <w14:solidFill>
              <w14:schemeClr w14:val="tx1"/>
            </w14:solidFill>
          </w14:textFill>
        </w:rPr>
        <w:t>下属单位。从预算单位构成看，</w:t>
      </w:r>
      <w:r>
        <w:rPr>
          <w:rFonts w:hint="eastAsia" w:ascii="宋体" w:hAnsi="宋体" w:eastAsia="仿宋_GB2312" w:cs="Times New Roman"/>
          <w:color w:val="000000" w:themeColor="text1"/>
          <w:sz w:val="32"/>
          <w:szCs w:val="32"/>
          <w:lang w:val="en-US" w:eastAsia="zh-CN"/>
          <w14:textFill>
            <w14:solidFill>
              <w14:schemeClr w14:val="tx1"/>
            </w14:solidFill>
          </w14:textFill>
        </w:rPr>
        <w:t>本</w:t>
      </w:r>
      <w:r>
        <w:rPr>
          <w:rFonts w:hint="eastAsia" w:ascii="宋体" w:hAnsi="宋体" w:eastAsia="仿宋_GB2312" w:cs="Times New Roman"/>
          <w:color w:val="000000" w:themeColor="text1"/>
          <w:sz w:val="32"/>
          <w:szCs w:val="32"/>
          <w14:textFill>
            <w14:solidFill>
              <w14:schemeClr w14:val="tx1"/>
            </w14:solidFill>
          </w14:textFill>
        </w:rPr>
        <w:t>单位部门决算包括：本级决算</w:t>
      </w:r>
      <w:r>
        <w:rPr>
          <w:rFonts w:hint="eastAsia" w:ascii="宋体" w:hAnsi="宋体" w:eastAsia="仿宋_GB2312" w:cs="Times New Roman"/>
          <w:color w:val="000000" w:themeColor="text1"/>
          <w:sz w:val="32"/>
          <w:szCs w:val="32"/>
          <w:lang w:eastAsia="zh-CN"/>
          <w14:textFill>
            <w14:solidFill>
              <w14:schemeClr w14:val="tx1"/>
            </w14:solidFill>
          </w14:textFill>
        </w:rPr>
        <w:t>。</w:t>
      </w:r>
    </w:p>
    <w:p>
      <w:pPr>
        <w:rPr>
          <w:rFonts w:ascii="仿宋" w:hAnsi="仿宋" w:eastAsia="仿宋" w:cs="仿宋"/>
          <w:color w:val="000000" w:themeColor="text1"/>
          <w:sz w:val="32"/>
          <w:szCs w:val="32"/>
          <w14:textFill>
            <w14:solidFill>
              <w14:schemeClr w14:val="tx1"/>
            </w14:solidFill>
          </w14:textFill>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7261.80</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7261.80</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sz w:val="32"/>
          <w:szCs w:val="32"/>
          <w:lang w:val="en-US" w:eastAsia="zh-CN"/>
        </w:rPr>
        <w:t>2158.78</w:t>
      </w:r>
      <w:r>
        <w:rPr>
          <w:rFonts w:hint="eastAsia" w:ascii="宋体" w:hAnsi="宋体" w:eastAsia="仿宋_GB2312" w:cs="Times New Roman"/>
          <w:sz w:val="32"/>
          <w:szCs w:val="32"/>
        </w:rPr>
        <w:t>万元，支出总计减少</w:t>
      </w:r>
      <w:r>
        <w:rPr>
          <w:rFonts w:ascii="仿宋" w:hAnsi="仿宋" w:eastAsia="仿宋" w:cs="仿宋"/>
          <w:spacing w:val="-34"/>
          <w:sz w:val="32"/>
          <w:szCs w:val="32"/>
        </w:rPr>
        <w:t xml:space="preserve"> </w:t>
      </w:r>
      <w:r>
        <w:rPr>
          <w:rFonts w:hint="eastAsia" w:ascii="宋体" w:hAnsi="宋体" w:eastAsia="仿宋_GB2312" w:cs="Times New Roman"/>
          <w:sz w:val="32"/>
          <w:szCs w:val="32"/>
          <w:lang w:val="en-US" w:eastAsia="zh-CN"/>
        </w:rPr>
        <w:t>2158.78</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老旧小区改造项目减少。</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宋体" w:hAnsi="宋体" w:eastAsia="仿宋_GB2312" w:cs="Times New Roman"/>
          <w:sz w:val="32"/>
          <w:szCs w:val="32"/>
          <w:lang w:val="en-US" w:eastAsia="zh-CN"/>
        </w:rPr>
        <w:t>7261.80</w:t>
      </w:r>
      <w:r>
        <w:rPr>
          <w:rFonts w:hint="eastAsia" w:ascii="宋体" w:hAnsi="宋体" w:eastAsia="仿宋_GB2312" w:cs="Times New Roman"/>
          <w:sz w:val="32"/>
          <w:szCs w:val="32"/>
        </w:rPr>
        <w:t>万元，其中：财政拨款收入</w:t>
      </w:r>
      <w:r>
        <w:rPr>
          <w:rFonts w:hint="eastAsia" w:ascii="宋体" w:hAnsi="宋体" w:eastAsia="仿宋_GB2312" w:cs="Times New Roman"/>
          <w:sz w:val="32"/>
          <w:szCs w:val="32"/>
          <w:lang w:val="en-US" w:eastAsia="zh-CN"/>
        </w:rPr>
        <w:t>7261.80</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宋体" w:hAnsi="宋体" w:eastAsia="仿宋_GB2312" w:cs="Times New Roman"/>
          <w:sz w:val="32"/>
          <w:szCs w:val="32"/>
          <w:lang w:val="en-US" w:eastAsia="zh-CN"/>
        </w:rPr>
        <w:t>7261.80</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523.82</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6737.98</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hint="default" w:ascii="宋体" w:hAnsi="宋体" w:eastAsia="仿宋_GB2312" w:cs="Times New Roman"/>
          <w:sz w:val="32"/>
          <w:szCs w:val="32"/>
          <w:lang w:val="en-US" w:eastAsia="zh-CN"/>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宋体" w:hAnsi="宋体" w:eastAsia="仿宋_GB2312" w:cs="Times New Roman"/>
          <w:sz w:val="32"/>
          <w:szCs w:val="32"/>
          <w:lang w:val="en-US" w:eastAsia="zh-CN"/>
        </w:rPr>
        <w:t>7261.80</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7261.80</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年相比，财政拨款收入总计减少</w:t>
      </w:r>
      <w:r>
        <w:rPr>
          <w:rFonts w:ascii="仿宋" w:hAnsi="仿宋" w:eastAsia="仿宋" w:cs="仿宋"/>
          <w:spacing w:val="-34"/>
          <w:sz w:val="32"/>
          <w:szCs w:val="32"/>
        </w:rPr>
        <w:t xml:space="preserve"> </w:t>
      </w:r>
      <w:r>
        <w:rPr>
          <w:rFonts w:hint="eastAsia" w:ascii="宋体" w:hAnsi="宋体" w:eastAsia="仿宋_GB2312" w:cs="Times New Roman"/>
          <w:sz w:val="32"/>
          <w:szCs w:val="32"/>
          <w:lang w:val="en-US" w:eastAsia="zh-CN"/>
        </w:rPr>
        <w:t>2158.78</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22</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老旧小区改造项目减少。</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4988.12</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w:t>
      </w:r>
      <w:r>
        <w:rPr>
          <w:rFonts w:hint="eastAsia" w:ascii="宋体" w:hAnsi="宋体" w:eastAsia="仿宋_GB2312" w:cs="Times New Roman"/>
          <w:sz w:val="32"/>
          <w:szCs w:val="32"/>
          <w:lang w:val="en-US" w:eastAsia="zh-CN"/>
        </w:rPr>
        <w:t>增加109.93</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社会保障人员增加。</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hint="default" w:ascii="仿宋" w:hAnsi="仿宋" w:eastAsia="仿宋" w:cs="仿宋"/>
          <w:sz w:val="32"/>
          <w:szCs w:val="32"/>
          <w:highlight w:val="none"/>
          <w:lang w:val="en-US"/>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4988.12</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行政运行</w:t>
      </w:r>
      <w:r>
        <w:rPr>
          <w:rFonts w:hint="eastAsia" w:ascii="宋体" w:hAnsi="宋体" w:eastAsia="仿宋_GB2312" w:cs="Times New Roman"/>
          <w:sz w:val="32"/>
          <w:szCs w:val="32"/>
          <w:highlight w:val="none"/>
        </w:rPr>
        <w:t>支出</w:t>
      </w:r>
      <w:r>
        <w:rPr>
          <w:rFonts w:hint="eastAsia" w:ascii="宋体" w:hAnsi="宋体" w:eastAsia="仿宋_GB2312" w:cs="Times New Roman"/>
          <w:sz w:val="32"/>
          <w:szCs w:val="32"/>
          <w:highlight w:val="none"/>
          <w:lang w:val="en-US" w:eastAsia="zh-CN"/>
        </w:rPr>
        <w:t>339.87</w:t>
      </w:r>
      <w:r>
        <w:rPr>
          <w:rFonts w:hint="eastAsia" w:ascii="宋体" w:hAnsi="宋体" w:eastAsia="仿宋_GB2312" w:cs="Times New Roman"/>
          <w:sz w:val="32"/>
          <w:szCs w:val="32"/>
          <w:highlight w:val="none"/>
        </w:rPr>
        <w:t>万元，占</w:t>
      </w:r>
      <w:r>
        <w:rPr>
          <w:rFonts w:hint="eastAsia" w:ascii="宋体" w:hAnsi="宋体" w:eastAsia="仿宋_GB2312" w:cs="Times New Roman"/>
          <w:sz w:val="32"/>
          <w:szCs w:val="32"/>
          <w:highlight w:val="none"/>
          <w:lang w:val="en-US" w:eastAsia="zh-CN"/>
        </w:rPr>
        <w:t>6.81%</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一般行政管理事务支出294.23万元，</w:t>
      </w:r>
      <w:r>
        <w:rPr>
          <w:rFonts w:hint="eastAsia" w:ascii="宋体" w:hAnsi="宋体" w:eastAsia="仿宋_GB2312" w:cs="Times New Roman"/>
          <w:sz w:val="32"/>
          <w:szCs w:val="32"/>
          <w:highlight w:val="none"/>
        </w:rPr>
        <w:t>占</w:t>
      </w:r>
      <w:r>
        <w:rPr>
          <w:rFonts w:hint="eastAsia" w:ascii="宋体" w:hAnsi="宋体" w:eastAsia="仿宋_GB2312" w:cs="Times New Roman"/>
          <w:sz w:val="32"/>
          <w:szCs w:val="32"/>
          <w:highlight w:val="none"/>
          <w:lang w:val="en-US" w:eastAsia="zh-CN"/>
        </w:rPr>
        <w:t>6.0%</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highlight w:val="none"/>
          <w:lang w:val="en-US" w:eastAsia="zh-CN"/>
        </w:rPr>
        <w:t>信访事务支出20万元，</w:t>
      </w:r>
      <w:r>
        <w:rPr>
          <w:rFonts w:hint="eastAsia" w:ascii="宋体" w:hAnsi="宋体" w:eastAsia="仿宋_GB2312" w:cs="Times New Roman"/>
          <w:sz w:val="32"/>
          <w:szCs w:val="32"/>
          <w:highlight w:val="none"/>
        </w:rPr>
        <w:t>占</w:t>
      </w:r>
      <w:r>
        <w:rPr>
          <w:rFonts w:hint="eastAsia" w:ascii="宋体" w:hAnsi="宋体" w:eastAsia="仿宋_GB2312" w:cs="Times New Roman"/>
          <w:sz w:val="32"/>
          <w:szCs w:val="32"/>
          <w:highlight w:val="none"/>
          <w:lang w:val="en-US" w:eastAsia="zh-CN"/>
        </w:rPr>
        <w:t>0.4%；死亡抚恤支出45.03万元，</w:t>
      </w:r>
      <w:r>
        <w:rPr>
          <w:rFonts w:hint="eastAsia" w:ascii="宋体" w:hAnsi="宋体" w:eastAsia="仿宋_GB2312" w:cs="Times New Roman"/>
          <w:sz w:val="32"/>
          <w:szCs w:val="32"/>
          <w:highlight w:val="none"/>
        </w:rPr>
        <w:t>占</w:t>
      </w:r>
      <w:r>
        <w:rPr>
          <w:rFonts w:hint="eastAsia" w:ascii="宋体" w:hAnsi="宋体" w:eastAsia="仿宋_GB2312" w:cs="Times New Roman"/>
          <w:sz w:val="32"/>
          <w:szCs w:val="32"/>
          <w:highlight w:val="none"/>
          <w:lang w:val="en-US" w:eastAsia="zh-CN"/>
        </w:rPr>
        <w:t>0.9%</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伤残抚恤支出18.81万元，</w:t>
      </w:r>
      <w:r>
        <w:rPr>
          <w:rFonts w:hint="eastAsia" w:ascii="宋体" w:hAnsi="宋体" w:eastAsia="仿宋_GB2312" w:cs="Times New Roman"/>
          <w:sz w:val="32"/>
          <w:szCs w:val="32"/>
          <w:highlight w:val="none"/>
        </w:rPr>
        <w:t>占</w:t>
      </w:r>
      <w:r>
        <w:rPr>
          <w:rFonts w:hint="eastAsia" w:ascii="宋体" w:hAnsi="宋体" w:eastAsia="仿宋_GB2312" w:cs="Times New Roman"/>
          <w:sz w:val="32"/>
          <w:szCs w:val="32"/>
          <w:highlight w:val="none"/>
          <w:lang w:val="en-US" w:eastAsia="zh-CN"/>
        </w:rPr>
        <w:t>0.38%</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在乡复员、退伍军人生活补助支出19.65万元，</w:t>
      </w:r>
      <w:r>
        <w:rPr>
          <w:rFonts w:hint="eastAsia" w:ascii="宋体" w:hAnsi="宋体" w:eastAsia="仿宋_GB2312" w:cs="Times New Roman"/>
          <w:sz w:val="32"/>
          <w:szCs w:val="32"/>
          <w:highlight w:val="none"/>
        </w:rPr>
        <w:t>占</w:t>
      </w:r>
      <w:r>
        <w:rPr>
          <w:rFonts w:hint="eastAsia" w:ascii="宋体" w:hAnsi="宋体" w:eastAsia="仿宋_GB2312" w:cs="Times New Roman"/>
          <w:sz w:val="32"/>
          <w:szCs w:val="32"/>
          <w:highlight w:val="none"/>
          <w:lang w:val="en-US" w:eastAsia="zh-CN"/>
        </w:rPr>
        <w:t>0.39%</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义务兵优待支出203.5万元，</w:t>
      </w:r>
      <w:r>
        <w:rPr>
          <w:rFonts w:hint="eastAsia" w:ascii="宋体" w:hAnsi="宋体" w:eastAsia="仿宋_GB2312" w:cs="Times New Roman"/>
          <w:sz w:val="32"/>
          <w:szCs w:val="32"/>
          <w:highlight w:val="none"/>
        </w:rPr>
        <w:t>占</w:t>
      </w:r>
      <w:r>
        <w:rPr>
          <w:rFonts w:hint="eastAsia" w:ascii="宋体" w:hAnsi="宋体" w:eastAsia="仿宋_GB2312" w:cs="Times New Roman"/>
          <w:sz w:val="32"/>
          <w:szCs w:val="32"/>
          <w:highlight w:val="none"/>
          <w:lang w:val="en-US" w:eastAsia="zh-CN"/>
        </w:rPr>
        <w:t>4.08%</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农村籍退役士兵老年生活补助6.86万元，</w:t>
      </w:r>
      <w:r>
        <w:rPr>
          <w:rFonts w:hint="eastAsia" w:ascii="宋体" w:hAnsi="宋体" w:eastAsia="仿宋_GB2312" w:cs="Times New Roman"/>
          <w:sz w:val="32"/>
          <w:szCs w:val="32"/>
          <w:highlight w:val="none"/>
        </w:rPr>
        <w:t>占</w:t>
      </w:r>
      <w:r>
        <w:rPr>
          <w:rFonts w:hint="eastAsia" w:ascii="宋体" w:hAnsi="宋体" w:eastAsia="仿宋_GB2312" w:cs="Times New Roman"/>
          <w:sz w:val="32"/>
          <w:szCs w:val="32"/>
          <w:highlight w:val="none"/>
          <w:lang w:val="en-US" w:eastAsia="zh-CN"/>
        </w:rPr>
        <w:t>0.14%</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农村特困人员救助供养支出25.4万元，</w:t>
      </w:r>
      <w:r>
        <w:rPr>
          <w:rFonts w:hint="eastAsia" w:ascii="宋体" w:hAnsi="宋体" w:eastAsia="仿宋_GB2312" w:cs="Times New Roman"/>
          <w:sz w:val="32"/>
          <w:szCs w:val="32"/>
          <w:highlight w:val="none"/>
        </w:rPr>
        <w:t>占</w:t>
      </w:r>
      <w:r>
        <w:rPr>
          <w:rFonts w:hint="eastAsia" w:ascii="宋体" w:hAnsi="宋体" w:eastAsia="仿宋_GB2312" w:cs="Times New Roman"/>
          <w:sz w:val="32"/>
          <w:szCs w:val="32"/>
          <w:highlight w:val="none"/>
          <w:lang w:val="en-US" w:eastAsia="zh-CN"/>
        </w:rPr>
        <w:t>0.51%</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其他生活农村救助支出0.19万元，</w:t>
      </w:r>
      <w:r>
        <w:rPr>
          <w:rFonts w:hint="eastAsia" w:ascii="宋体" w:hAnsi="宋体" w:eastAsia="仿宋_GB2312" w:cs="Times New Roman"/>
          <w:sz w:val="32"/>
          <w:szCs w:val="32"/>
          <w:highlight w:val="none"/>
        </w:rPr>
        <w:t>占</w:t>
      </w:r>
      <w:r>
        <w:rPr>
          <w:rFonts w:hint="eastAsia" w:ascii="宋体" w:hAnsi="宋体" w:eastAsia="仿宋_GB2312" w:cs="Times New Roman"/>
          <w:sz w:val="32"/>
          <w:szCs w:val="32"/>
          <w:highlight w:val="none"/>
          <w:lang w:val="en-US" w:eastAsia="zh-CN"/>
        </w:rPr>
        <w:t>0.0038%</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乡镇卫生院支出17.03万元，</w:t>
      </w:r>
      <w:r>
        <w:rPr>
          <w:rFonts w:hint="eastAsia" w:ascii="宋体" w:hAnsi="宋体" w:eastAsia="仿宋_GB2312" w:cs="Times New Roman"/>
          <w:sz w:val="32"/>
          <w:szCs w:val="32"/>
          <w:highlight w:val="none"/>
        </w:rPr>
        <w:t>占</w:t>
      </w:r>
      <w:r>
        <w:rPr>
          <w:rFonts w:hint="eastAsia" w:ascii="宋体" w:hAnsi="宋体" w:eastAsia="仿宋_GB2312" w:cs="Times New Roman"/>
          <w:sz w:val="32"/>
          <w:szCs w:val="32"/>
          <w:highlight w:val="none"/>
          <w:lang w:val="en-US" w:eastAsia="zh-CN"/>
        </w:rPr>
        <w:t>0.34%</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突发公共卫生事件应急处理支出40万元，</w:t>
      </w:r>
      <w:r>
        <w:rPr>
          <w:rFonts w:hint="eastAsia" w:ascii="宋体" w:hAnsi="宋体" w:eastAsia="仿宋_GB2312" w:cs="Times New Roman"/>
          <w:sz w:val="32"/>
          <w:szCs w:val="32"/>
          <w:highlight w:val="none"/>
        </w:rPr>
        <w:t>占</w:t>
      </w:r>
      <w:r>
        <w:rPr>
          <w:rFonts w:hint="eastAsia" w:ascii="宋体" w:hAnsi="宋体" w:eastAsia="仿宋_GB2312" w:cs="Times New Roman"/>
          <w:sz w:val="32"/>
          <w:szCs w:val="32"/>
          <w:highlight w:val="none"/>
          <w:lang w:val="en-US" w:eastAsia="zh-CN"/>
        </w:rPr>
        <w:t>0.8%</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大气支出347.41万元，</w:t>
      </w:r>
      <w:r>
        <w:rPr>
          <w:rFonts w:hint="eastAsia" w:ascii="宋体" w:hAnsi="宋体" w:eastAsia="仿宋_GB2312" w:cs="Times New Roman"/>
          <w:sz w:val="32"/>
          <w:szCs w:val="32"/>
          <w:highlight w:val="none"/>
        </w:rPr>
        <w:t>占</w:t>
      </w:r>
      <w:r>
        <w:rPr>
          <w:rFonts w:hint="eastAsia" w:ascii="宋体" w:hAnsi="宋体" w:eastAsia="仿宋_GB2312" w:cs="Times New Roman"/>
          <w:sz w:val="32"/>
          <w:szCs w:val="32"/>
          <w:highlight w:val="none"/>
          <w:lang w:val="en-US" w:eastAsia="zh-CN"/>
        </w:rPr>
        <w:t>6.96%</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一般行政管理事务支出329.23万元，</w:t>
      </w:r>
      <w:r>
        <w:rPr>
          <w:rFonts w:hint="eastAsia" w:ascii="宋体" w:hAnsi="宋体" w:eastAsia="仿宋_GB2312" w:cs="Times New Roman"/>
          <w:sz w:val="32"/>
          <w:szCs w:val="32"/>
          <w:highlight w:val="none"/>
        </w:rPr>
        <w:t>占</w:t>
      </w:r>
      <w:r>
        <w:rPr>
          <w:rFonts w:hint="eastAsia" w:ascii="宋体" w:hAnsi="宋体" w:eastAsia="仿宋_GB2312" w:cs="Times New Roman"/>
          <w:sz w:val="32"/>
          <w:szCs w:val="32"/>
          <w:highlight w:val="none"/>
          <w:lang w:val="en-US" w:eastAsia="zh-CN"/>
        </w:rPr>
        <w:t>6.6%</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小城镇基础设施建设支出323.10万元，</w:t>
      </w:r>
      <w:r>
        <w:rPr>
          <w:rFonts w:hint="eastAsia" w:ascii="宋体" w:hAnsi="宋体" w:eastAsia="仿宋_GB2312" w:cs="Times New Roman"/>
          <w:sz w:val="32"/>
          <w:szCs w:val="32"/>
          <w:highlight w:val="none"/>
        </w:rPr>
        <w:t>占</w:t>
      </w:r>
      <w:r>
        <w:rPr>
          <w:rFonts w:hint="eastAsia" w:ascii="宋体" w:hAnsi="宋体" w:eastAsia="仿宋_GB2312" w:cs="Times New Roman"/>
          <w:sz w:val="32"/>
          <w:szCs w:val="32"/>
          <w:highlight w:val="none"/>
          <w:lang w:val="en-US" w:eastAsia="zh-CN"/>
        </w:rPr>
        <w:t>6.48%</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其他城乡社区公共设施支出288.4万元，</w:t>
      </w:r>
      <w:r>
        <w:rPr>
          <w:rFonts w:hint="eastAsia" w:ascii="宋体" w:hAnsi="宋体" w:eastAsia="仿宋_GB2312" w:cs="Times New Roman"/>
          <w:sz w:val="32"/>
          <w:szCs w:val="32"/>
          <w:highlight w:val="none"/>
        </w:rPr>
        <w:t>占</w:t>
      </w:r>
      <w:r>
        <w:rPr>
          <w:rFonts w:hint="eastAsia" w:ascii="宋体" w:hAnsi="宋体" w:eastAsia="仿宋_GB2312" w:cs="Times New Roman"/>
          <w:sz w:val="32"/>
          <w:szCs w:val="32"/>
          <w:highlight w:val="none"/>
          <w:lang w:val="en-US" w:eastAsia="zh-CN"/>
        </w:rPr>
        <w:t>5.78%</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城乡社区环境卫生支出155万元，</w:t>
      </w:r>
      <w:r>
        <w:rPr>
          <w:rFonts w:hint="eastAsia" w:ascii="宋体" w:hAnsi="宋体" w:eastAsia="仿宋_GB2312" w:cs="Times New Roman"/>
          <w:sz w:val="32"/>
          <w:szCs w:val="32"/>
          <w:highlight w:val="none"/>
        </w:rPr>
        <w:t>占</w:t>
      </w:r>
      <w:r>
        <w:rPr>
          <w:rFonts w:hint="eastAsia" w:ascii="宋体" w:hAnsi="宋体" w:eastAsia="仿宋_GB2312" w:cs="Times New Roman"/>
          <w:sz w:val="32"/>
          <w:szCs w:val="32"/>
          <w:highlight w:val="none"/>
          <w:lang w:val="en-US" w:eastAsia="zh-CN"/>
        </w:rPr>
        <w:t>3.11%</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其他农业农村支持0.1万元，</w:t>
      </w:r>
      <w:r>
        <w:rPr>
          <w:rFonts w:hint="eastAsia" w:ascii="宋体" w:hAnsi="宋体" w:eastAsia="仿宋_GB2312" w:cs="Times New Roman"/>
          <w:sz w:val="32"/>
          <w:szCs w:val="32"/>
          <w:highlight w:val="none"/>
        </w:rPr>
        <w:t>占</w:t>
      </w:r>
      <w:r>
        <w:rPr>
          <w:rFonts w:hint="eastAsia" w:ascii="宋体" w:hAnsi="宋体" w:eastAsia="仿宋_GB2312" w:cs="Times New Roman"/>
          <w:sz w:val="32"/>
          <w:szCs w:val="32"/>
          <w:highlight w:val="none"/>
          <w:lang w:val="en-US" w:eastAsia="zh-CN"/>
        </w:rPr>
        <w:t>0.002%</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对村民委员会和村党支部的补助支出1.51万，</w:t>
      </w:r>
      <w:r>
        <w:rPr>
          <w:rFonts w:hint="eastAsia" w:ascii="宋体" w:hAnsi="宋体" w:eastAsia="仿宋_GB2312" w:cs="Times New Roman"/>
          <w:sz w:val="32"/>
          <w:szCs w:val="32"/>
          <w:highlight w:val="none"/>
        </w:rPr>
        <w:t>占</w:t>
      </w:r>
      <w:r>
        <w:rPr>
          <w:rFonts w:hint="eastAsia" w:ascii="宋体" w:hAnsi="宋体" w:eastAsia="仿宋_GB2312" w:cs="Times New Roman"/>
          <w:sz w:val="32"/>
          <w:szCs w:val="32"/>
          <w:highlight w:val="none"/>
          <w:lang w:val="en-US" w:eastAsia="zh-CN"/>
        </w:rPr>
        <w:t>0.03%</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对村集体经济组织的补助支出51.5万元，</w:t>
      </w:r>
      <w:r>
        <w:rPr>
          <w:rFonts w:hint="eastAsia" w:ascii="宋体" w:hAnsi="宋体" w:eastAsia="仿宋_GB2312" w:cs="Times New Roman"/>
          <w:sz w:val="32"/>
          <w:szCs w:val="32"/>
          <w:highlight w:val="none"/>
        </w:rPr>
        <w:t>占</w:t>
      </w:r>
      <w:r>
        <w:rPr>
          <w:rFonts w:hint="eastAsia" w:ascii="宋体" w:hAnsi="宋体" w:eastAsia="仿宋_GB2312" w:cs="Times New Roman"/>
          <w:sz w:val="32"/>
          <w:szCs w:val="32"/>
          <w:highlight w:val="none"/>
          <w:lang w:val="en-US" w:eastAsia="zh-CN"/>
        </w:rPr>
        <w:t>1.03%</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老旧小区改造256万元，</w:t>
      </w:r>
      <w:r>
        <w:rPr>
          <w:rFonts w:hint="eastAsia" w:ascii="宋体" w:hAnsi="宋体" w:eastAsia="仿宋_GB2312" w:cs="Times New Roman"/>
          <w:sz w:val="32"/>
          <w:szCs w:val="32"/>
          <w:highlight w:val="none"/>
        </w:rPr>
        <w:t>占</w:t>
      </w:r>
      <w:r>
        <w:rPr>
          <w:rFonts w:hint="eastAsia" w:ascii="宋体" w:hAnsi="宋体" w:eastAsia="仿宋_GB2312" w:cs="Times New Roman"/>
          <w:sz w:val="32"/>
          <w:szCs w:val="32"/>
          <w:highlight w:val="none"/>
          <w:lang w:val="en-US" w:eastAsia="zh-CN"/>
        </w:rPr>
        <w:t>5.13%</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其他保障性安居工程支出2205.32万元，</w:t>
      </w:r>
      <w:r>
        <w:rPr>
          <w:rFonts w:hint="eastAsia" w:ascii="宋体" w:hAnsi="宋体" w:eastAsia="仿宋_GB2312" w:cs="Times New Roman"/>
          <w:sz w:val="32"/>
          <w:szCs w:val="32"/>
          <w:highlight w:val="none"/>
        </w:rPr>
        <w:t>占</w:t>
      </w:r>
      <w:r>
        <w:rPr>
          <w:rFonts w:hint="eastAsia" w:ascii="宋体" w:hAnsi="宋体" w:eastAsia="仿宋_GB2312" w:cs="Times New Roman"/>
          <w:sz w:val="32"/>
          <w:szCs w:val="32"/>
          <w:highlight w:val="none"/>
          <w:lang w:val="en-US" w:eastAsia="zh-CN"/>
        </w:rPr>
        <w:t>44.21%。</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4988.12</w:t>
      </w:r>
      <w:r>
        <w:rPr>
          <w:rFonts w:hint="eastAsia" w:ascii="宋体" w:hAnsi="宋体" w:eastAsia="仿宋_GB2312" w:cs="Times New Roman"/>
          <w:sz w:val="32"/>
          <w:szCs w:val="32"/>
        </w:rPr>
        <w:t>万元，支出决算为</w:t>
      </w:r>
      <w:r>
        <w:rPr>
          <w:rFonts w:hint="eastAsia" w:ascii="宋体" w:hAnsi="宋体" w:eastAsia="仿宋_GB2312" w:cs="Times New Roman"/>
          <w:sz w:val="32"/>
          <w:szCs w:val="32"/>
          <w:lang w:val="en-US" w:eastAsia="zh-CN"/>
        </w:rPr>
        <w:t>4988.12</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hint="eastAsia" w:ascii="宋体" w:hAnsi="宋体" w:eastAsia="仿宋_GB2312" w:cs="Times New Roman"/>
          <w:sz w:val="32"/>
          <w:szCs w:val="32"/>
          <w:highlight w:val="none"/>
        </w:rPr>
      </w:pPr>
      <w:bookmarkStart w:id="16" w:name="_Toc21993_WPSOffice_Level2"/>
      <w:bookmarkStart w:id="17" w:name="_Toc28951_WPSOffice_Level2"/>
      <w:r>
        <w:rPr>
          <w:rFonts w:hint="eastAsia" w:ascii="宋体" w:hAnsi="宋体" w:eastAsia="仿宋_GB2312" w:cs="Times New Roman"/>
          <w:sz w:val="32"/>
          <w:szCs w:val="32"/>
          <w:highlight w:val="none"/>
          <w:lang w:eastAsia="zh-CN"/>
        </w:rPr>
        <w:t>2021</w:t>
      </w:r>
      <w:r>
        <w:rPr>
          <w:rFonts w:hint="eastAsia" w:ascii="宋体" w:hAnsi="宋体" w:eastAsia="仿宋_GB2312" w:cs="Times New Roman"/>
          <w:sz w:val="32"/>
          <w:szCs w:val="32"/>
          <w:highlight w:val="none"/>
        </w:rPr>
        <w:t>年度财政拨款基本支出</w:t>
      </w:r>
      <w:r>
        <w:rPr>
          <w:rFonts w:hint="eastAsia" w:ascii="仿宋" w:hAnsi="仿宋" w:eastAsia="仿宋" w:cs="仿宋"/>
          <w:spacing w:val="4"/>
          <w:sz w:val="32"/>
          <w:szCs w:val="32"/>
          <w:highlight w:val="none"/>
          <w:lang w:val="en-US" w:eastAsia="zh-CN"/>
        </w:rPr>
        <w:t>523.82</w:t>
      </w:r>
      <w:r>
        <w:rPr>
          <w:rFonts w:hint="eastAsia" w:ascii="宋体" w:hAnsi="宋体" w:eastAsia="仿宋_GB2312" w:cs="Times New Roman"/>
          <w:sz w:val="32"/>
          <w:szCs w:val="32"/>
          <w:highlight w:val="none"/>
        </w:rPr>
        <w:t>万元，其中：人员经费</w:t>
      </w:r>
      <w:r>
        <w:rPr>
          <w:rFonts w:hint="eastAsia" w:ascii="仿宋" w:hAnsi="仿宋" w:eastAsia="仿宋" w:cs="仿宋"/>
          <w:spacing w:val="4"/>
          <w:sz w:val="32"/>
          <w:szCs w:val="32"/>
          <w:highlight w:val="none"/>
          <w:lang w:val="en-US" w:eastAsia="zh-CN"/>
        </w:rPr>
        <w:t>496.28</w:t>
      </w:r>
      <w:r>
        <w:rPr>
          <w:rFonts w:hint="eastAsia" w:ascii="宋体" w:hAnsi="宋体" w:eastAsia="仿宋_GB2312" w:cs="Times New Roman"/>
          <w:sz w:val="32"/>
          <w:szCs w:val="32"/>
          <w:highlight w:val="none"/>
        </w:rPr>
        <w:t>万元，主要包括工资福利支出</w:t>
      </w:r>
      <w:r>
        <w:rPr>
          <w:rFonts w:hint="eastAsia" w:ascii="仿宋" w:hAnsi="仿宋" w:eastAsia="仿宋" w:cs="仿宋"/>
          <w:spacing w:val="4"/>
          <w:sz w:val="32"/>
          <w:szCs w:val="32"/>
          <w:highlight w:val="none"/>
          <w:lang w:val="en-US" w:eastAsia="zh-CN"/>
        </w:rPr>
        <w:t>476.4</w:t>
      </w:r>
      <w:r>
        <w:rPr>
          <w:rFonts w:hint="eastAsia" w:ascii="宋体" w:hAnsi="宋体" w:eastAsia="仿宋_GB2312" w:cs="Times New Roman"/>
          <w:sz w:val="32"/>
          <w:szCs w:val="32"/>
          <w:highlight w:val="none"/>
        </w:rPr>
        <w:t>万元和对个人和家庭的补助</w:t>
      </w:r>
      <w:r>
        <w:rPr>
          <w:rFonts w:hint="eastAsia" w:ascii="仿宋" w:hAnsi="仿宋" w:eastAsia="仿宋" w:cs="仿宋"/>
          <w:spacing w:val="4"/>
          <w:sz w:val="32"/>
          <w:szCs w:val="32"/>
          <w:highlight w:val="none"/>
          <w:lang w:val="en-US" w:eastAsia="zh-CN"/>
        </w:rPr>
        <w:t>19.89</w:t>
      </w:r>
      <w:r>
        <w:rPr>
          <w:rFonts w:hint="eastAsia" w:ascii="宋体" w:hAnsi="宋体" w:eastAsia="仿宋_GB2312" w:cs="Times New Roman"/>
          <w:sz w:val="32"/>
          <w:szCs w:val="32"/>
          <w:highlight w:val="none"/>
        </w:rPr>
        <w:t>万元；公用经费</w:t>
      </w:r>
      <w:r>
        <w:rPr>
          <w:rFonts w:hint="eastAsia" w:ascii="仿宋" w:hAnsi="仿宋" w:eastAsia="仿宋" w:cs="仿宋"/>
          <w:spacing w:val="4"/>
          <w:sz w:val="32"/>
          <w:szCs w:val="32"/>
          <w:highlight w:val="none"/>
          <w:lang w:val="en-US" w:eastAsia="zh-CN"/>
        </w:rPr>
        <w:t>27.54</w:t>
      </w:r>
      <w:r>
        <w:rPr>
          <w:rFonts w:hint="eastAsia" w:ascii="宋体" w:hAnsi="宋体" w:eastAsia="仿宋_GB2312" w:cs="Times New Roman"/>
          <w:sz w:val="32"/>
          <w:szCs w:val="32"/>
          <w:highlight w:val="none"/>
        </w:rPr>
        <w:t xml:space="preserve">万元，主要包括商品和服务支出 </w:t>
      </w:r>
      <w:r>
        <w:rPr>
          <w:rFonts w:hint="eastAsia" w:ascii="仿宋" w:hAnsi="仿宋" w:eastAsia="仿宋" w:cs="仿宋"/>
          <w:spacing w:val="4"/>
          <w:sz w:val="32"/>
          <w:szCs w:val="32"/>
          <w:highlight w:val="none"/>
          <w:lang w:val="en-US" w:eastAsia="zh-CN"/>
        </w:rPr>
        <w:t>27.54</w:t>
      </w:r>
      <w:r>
        <w:rPr>
          <w:rFonts w:hint="eastAsia" w:ascii="宋体" w:hAnsi="宋体" w:eastAsia="仿宋_GB2312" w:cs="Times New Roman"/>
          <w:sz w:val="32"/>
          <w:szCs w:val="32"/>
          <w:highlight w:val="none"/>
        </w:rPr>
        <w:t>万元。</w:t>
      </w:r>
    </w:p>
    <w:p>
      <w:pPr>
        <w:pStyle w:val="2"/>
        <w:rPr>
          <w:rFonts w:hint="default" w:eastAsiaTheme="minorEastAsia"/>
          <w:lang w:val="en-US" w:eastAsia="zh-CN"/>
        </w:rPr>
      </w:pPr>
      <w:r>
        <w:rPr>
          <w:rFonts w:hint="eastAsia"/>
          <w:lang w:val="en-US" w:eastAsia="zh-CN"/>
        </w:rPr>
        <w:t>基本支出不是全部支出</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2.8</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2.8</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与同年预算相比增加</w:t>
      </w:r>
      <w:r>
        <w:rPr>
          <w:rFonts w:hint="eastAsia" w:ascii="宋体" w:hAnsi="宋体" w:eastAsia="仿宋_GB2312" w:cs="Times New Roman"/>
          <w:sz w:val="32"/>
          <w:szCs w:val="32"/>
          <w:lang w:val="en-US" w:eastAsia="zh-CN"/>
        </w:rPr>
        <w:t>0万元，</w:t>
      </w:r>
      <w:r>
        <w:rPr>
          <w:rFonts w:hint="eastAsia" w:ascii="宋体" w:hAnsi="宋体" w:eastAsia="仿宋_GB2312" w:cs="Times New Roman"/>
          <w:color w:val="000000" w:themeColor="text1"/>
          <w:sz w:val="32"/>
          <w:szCs w:val="32"/>
          <w14:textFill>
            <w14:solidFill>
              <w14:schemeClr w14:val="tx1"/>
            </w14:solidFill>
          </w14:textFill>
        </w:rPr>
        <w:t>其中：因公出国（境）费用</w:t>
      </w:r>
      <w:r>
        <w:rPr>
          <w:rFonts w:hint="eastAsia" w:ascii="宋体" w:hAnsi="宋体" w:eastAsia="仿宋_GB2312" w:cs="Times New Roman"/>
          <w:color w:val="000000" w:themeColor="text1"/>
          <w:sz w:val="32"/>
          <w:szCs w:val="32"/>
          <w:lang w:val="en-US" w:eastAsia="zh-CN"/>
          <w14:textFill>
            <w14:solidFill>
              <w14:schemeClr w14:val="tx1"/>
            </w14:solidFill>
          </w14:textFill>
        </w:rPr>
        <w:t>0</w:t>
      </w:r>
      <w:r>
        <w:rPr>
          <w:rFonts w:hint="eastAsia" w:ascii="宋体" w:hAnsi="宋体" w:eastAsia="仿宋_GB2312" w:cs="Times New Roman"/>
          <w:color w:val="000000" w:themeColor="text1"/>
          <w:sz w:val="32"/>
          <w:szCs w:val="32"/>
          <w14:textFill>
            <w14:solidFill>
              <w14:schemeClr w14:val="tx1"/>
            </w14:solidFill>
          </w14:textFill>
        </w:rPr>
        <w:t>万元，比上年增加</w:t>
      </w:r>
      <w:r>
        <w:rPr>
          <w:rFonts w:hint="eastAsia" w:ascii="仿宋" w:hAnsi="仿宋" w:eastAsia="仿宋" w:cs="仿宋"/>
          <w:color w:val="000000" w:themeColor="text1"/>
          <w:spacing w:val="4"/>
          <w:sz w:val="32"/>
          <w:szCs w:val="32"/>
          <w:lang w:val="en-US" w:eastAsia="zh-CN"/>
          <w14:textFill>
            <w14:solidFill>
              <w14:schemeClr w14:val="tx1"/>
            </w14:solidFill>
          </w14:textFill>
        </w:rPr>
        <w:t>0</w:t>
      </w:r>
      <w:r>
        <w:rPr>
          <w:rFonts w:hint="eastAsia" w:ascii="宋体" w:hAnsi="宋体" w:eastAsia="仿宋_GB2312" w:cs="Times New Roman"/>
          <w:color w:val="000000" w:themeColor="text1"/>
          <w:sz w:val="32"/>
          <w:szCs w:val="32"/>
          <w14:textFill>
            <w14:solidFill>
              <w14:schemeClr w14:val="tx1"/>
            </w14:solidFill>
          </w14:textFill>
        </w:rPr>
        <w:t>万元；公务接待费</w:t>
      </w:r>
      <w:r>
        <w:rPr>
          <w:rFonts w:hint="eastAsia" w:ascii="宋体" w:hAnsi="宋体" w:eastAsia="仿宋_GB2312" w:cs="Times New Roman"/>
          <w:color w:val="000000" w:themeColor="text1"/>
          <w:sz w:val="32"/>
          <w:szCs w:val="32"/>
          <w:lang w:val="en-US" w:eastAsia="zh-CN"/>
          <w14:textFill>
            <w14:solidFill>
              <w14:schemeClr w14:val="tx1"/>
            </w14:solidFill>
          </w14:textFill>
        </w:rPr>
        <w:t>2.8</w:t>
      </w:r>
      <w:r>
        <w:rPr>
          <w:rFonts w:hint="eastAsia" w:ascii="宋体" w:hAnsi="宋体" w:eastAsia="仿宋_GB2312" w:cs="Times New Roman"/>
          <w:color w:val="000000" w:themeColor="text1"/>
          <w:sz w:val="32"/>
          <w:szCs w:val="32"/>
          <w14:textFill>
            <w14:solidFill>
              <w14:schemeClr w14:val="tx1"/>
            </w14:solidFill>
          </w14:textFill>
        </w:rPr>
        <w:t>万元，比上年增加</w:t>
      </w:r>
      <w:r>
        <w:rPr>
          <w:rFonts w:hint="eastAsia" w:ascii="仿宋" w:hAnsi="仿宋" w:eastAsia="仿宋" w:cs="仿宋"/>
          <w:color w:val="000000" w:themeColor="text1"/>
          <w:spacing w:val="4"/>
          <w:sz w:val="32"/>
          <w:szCs w:val="32"/>
          <w:lang w:val="en-US" w:eastAsia="zh-CN"/>
          <w14:textFill>
            <w14:solidFill>
              <w14:schemeClr w14:val="tx1"/>
            </w14:solidFill>
          </w14:textFill>
        </w:rPr>
        <w:t>0</w:t>
      </w:r>
      <w:r>
        <w:rPr>
          <w:rFonts w:hint="eastAsia" w:ascii="宋体" w:hAnsi="宋体" w:eastAsia="仿宋_GB2312" w:cs="Times New Roman"/>
          <w:color w:val="000000" w:themeColor="text1"/>
          <w:sz w:val="32"/>
          <w:szCs w:val="32"/>
          <w14:textFill>
            <w14:solidFill>
              <w14:schemeClr w14:val="tx1"/>
            </w14:solidFill>
          </w14:textFill>
        </w:rPr>
        <w:t>万元，原因是</w:t>
      </w:r>
      <w:r>
        <w:rPr>
          <w:rFonts w:hint="eastAsia" w:ascii="宋体" w:hAnsi="宋体" w:eastAsia="仿宋_GB2312" w:cs="Times New Roman"/>
          <w:color w:val="000000" w:themeColor="text1"/>
          <w:sz w:val="32"/>
          <w:szCs w:val="32"/>
          <w:lang w:val="en-US" w:eastAsia="zh-CN"/>
          <w14:textFill>
            <w14:solidFill>
              <w14:schemeClr w14:val="tx1"/>
            </w14:solidFill>
          </w14:textFill>
        </w:rPr>
        <w:t>严格控制三公经费支出，遵循只减不增的相关规定</w:t>
      </w:r>
      <w:r>
        <w:rPr>
          <w:rFonts w:hint="eastAsia" w:ascii="宋体" w:hAnsi="宋体" w:eastAsia="仿宋_GB2312" w:cs="Times New Roman"/>
          <w:color w:val="000000" w:themeColor="text1"/>
          <w:sz w:val="32"/>
          <w:szCs w:val="32"/>
          <w14:textFill>
            <w14:solidFill>
              <w14:schemeClr w14:val="tx1"/>
            </w14:solidFill>
          </w14:textFill>
        </w:rPr>
        <w:t>；公务用车运行维护费</w:t>
      </w:r>
      <w:r>
        <w:rPr>
          <w:rFonts w:hint="eastAsia" w:ascii="仿宋" w:hAnsi="仿宋" w:eastAsia="仿宋" w:cs="仿宋"/>
          <w:color w:val="000000" w:themeColor="text1"/>
          <w:spacing w:val="4"/>
          <w:sz w:val="32"/>
          <w:szCs w:val="32"/>
          <w:lang w:val="en-US" w:eastAsia="zh-CN"/>
          <w14:textFill>
            <w14:solidFill>
              <w14:schemeClr w14:val="tx1"/>
            </w14:solidFill>
          </w14:textFill>
        </w:rPr>
        <w:t>0</w:t>
      </w:r>
      <w:r>
        <w:rPr>
          <w:rFonts w:hint="eastAsia" w:ascii="宋体" w:hAnsi="宋体" w:eastAsia="仿宋_GB2312" w:cs="Times New Roman"/>
          <w:color w:val="000000" w:themeColor="text1"/>
          <w:sz w:val="32"/>
          <w:szCs w:val="32"/>
          <w14:textFill>
            <w14:solidFill>
              <w14:schemeClr w14:val="tx1"/>
            </w14:solidFill>
          </w14:textFill>
        </w:rPr>
        <w:t>万元，比上年增加</w:t>
      </w:r>
      <w:r>
        <w:rPr>
          <w:rFonts w:hint="eastAsia" w:ascii="仿宋" w:hAnsi="仿宋" w:eastAsia="仿宋" w:cs="仿宋"/>
          <w:color w:val="000000" w:themeColor="text1"/>
          <w:spacing w:val="4"/>
          <w:sz w:val="32"/>
          <w:szCs w:val="32"/>
          <w:lang w:val="en-US" w:eastAsia="zh-CN"/>
          <w14:textFill>
            <w14:solidFill>
              <w14:schemeClr w14:val="tx1"/>
            </w14:solidFill>
          </w14:textFill>
        </w:rPr>
        <w:t>0</w:t>
      </w:r>
      <w:r>
        <w:rPr>
          <w:rFonts w:hint="eastAsia" w:ascii="宋体" w:hAnsi="宋体" w:eastAsia="仿宋_GB2312" w:cs="Times New Roman"/>
          <w:color w:val="000000" w:themeColor="text1"/>
          <w:sz w:val="32"/>
          <w:szCs w:val="32"/>
          <w14:textFill>
            <w14:solidFill>
              <w14:schemeClr w14:val="tx1"/>
            </w14:solidFill>
          </w14:textFill>
        </w:rPr>
        <w:t>万元；公务用车购置费</w:t>
      </w:r>
      <w:r>
        <w:rPr>
          <w:rFonts w:hint="eastAsia" w:ascii="宋体" w:hAnsi="宋体" w:eastAsia="仿宋_GB2312" w:cs="Times New Roman"/>
          <w:color w:val="000000" w:themeColor="text1"/>
          <w:sz w:val="32"/>
          <w:szCs w:val="32"/>
          <w:lang w:val="en-US" w:eastAsia="zh-CN"/>
          <w14:textFill>
            <w14:solidFill>
              <w14:schemeClr w14:val="tx1"/>
            </w14:solidFill>
          </w14:textFill>
        </w:rPr>
        <w:t>0</w:t>
      </w:r>
      <w:r>
        <w:rPr>
          <w:rFonts w:hint="eastAsia" w:ascii="宋体" w:hAnsi="宋体" w:eastAsia="仿宋_GB2312" w:cs="Times New Roman"/>
          <w:color w:val="000000" w:themeColor="text1"/>
          <w:sz w:val="32"/>
          <w:szCs w:val="32"/>
          <w14:textFill>
            <w14:solidFill>
              <w14:schemeClr w14:val="tx1"/>
            </w14:solidFill>
          </w14:textFill>
        </w:rPr>
        <w:t>万元，比上年增加</w:t>
      </w:r>
      <w:r>
        <w:rPr>
          <w:rFonts w:hint="eastAsia" w:ascii="仿宋" w:hAnsi="仿宋" w:eastAsia="仿宋" w:cs="仿宋"/>
          <w:color w:val="000000" w:themeColor="text1"/>
          <w:spacing w:val="4"/>
          <w:sz w:val="32"/>
          <w:szCs w:val="32"/>
          <w:lang w:val="en-US" w:eastAsia="zh-CN"/>
          <w14:textFill>
            <w14:solidFill>
              <w14:schemeClr w14:val="tx1"/>
            </w14:solidFill>
          </w14:textFill>
        </w:rPr>
        <w:t>0</w:t>
      </w:r>
      <w:r>
        <w:rPr>
          <w:rFonts w:hint="eastAsia" w:ascii="宋体" w:hAnsi="宋体" w:eastAsia="仿宋_GB2312" w:cs="Times New Roman"/>
          <w:color w:val="000000" w:themeColor="text1"/>
          <w:sz w:val="32"/>
          <w:szCs w:val="32"/>
          <w14:textFill>
            <w14:solidFill>
              <w14:schemeClr w14:val="tx1"/>
            </w14:solidFill>
          </w14:textFill>
        </w:rPr>
        <w:t>万元。</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2273.67</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2273.67</w:t>
      </w:r>
      <w:r>
        <w:rPr>
          <w:rFonts w:hint="eastAsia" w:ascii="宋体" w:hAnsi="宋体" w:eastAsia="仿宋_GB2312" w:cs="Times New Roman"/>
          <w:sz w:val="32"/>
          <w:szCs w:val="32"/>
        </w:rPr>
        <w:t>万元。具体支出情况如下:</w:t>
      </w:r>
    </w:p>
    <w:p>
      <w:pPr>
        <w:ind w:firstLine="640" w:firstLineChars="200"/>
        <w:rPr>
          <w:rFonts w:ascii="宋体" w:hAnsi="宋体" w:eastAsia="仿宋_GB2312" w:cs="Times New Roman"/>
          <w:sz w:val="32"/>
          <w:szCs w:val="32"/>
        </w:rPr>
      </w:pPr>
      <w:r>
        <w:rPr>
          <w:rFonts w:hint="eastAsia" w:ascii="宋体" w:hAnsi="宋体" w:eastAsia="仿宋_GB2312" w:cs="Times New Roman"/>
          <w:color w:val="000000" w:themeColor="text1"/>
          <w:sz w:val="32"/>
          <w:szCs w:val="32"/>
          <w:lang w:val="en-US" w:eastAsia="zh-CN"/>
          <w14:textFill>
            <w14:solidFill>
              <w14:schemeClr w14:val="tx1"/>
            </w14:solidFill>
          </w14:textFill>
        </w:rPr>
        <w:t xml:space="preserve">  2120801征地和拆迁补偿支出</w:t>
      </w:r>
      <w:r>
        <w:rPr>
          <w:rFonts w:hint="eastAsia" w:ascii="宋体" w:hAnsi="宋体" w:eastAsia="仿宋_GB2312" w:cs="Times New Roman"/>
          <w:color w:val="000000" w:themeColor="text1"/>
          <w:sz w:val="32"/>
          <w:szCs w:val="32"/>
          <w14:textFill>
            <w14:solidFill>
              <w14:schemeClr w14:val="tx1"/>
            </w14:solidFill>
          </w14:textFill>
        </w:rPr>
        <w:t>财政拨款支出</w:t>
      </w:r>
      <w:r>
        <w:rPr>
          <w:rFonts w:hint="eastAsia" w:ascii="宋体" w:hAnsi="宋体" w:eastAsia="仿宋_GB2312" w:cs="Times New Roman"/>
          <w:sz w:val="32"/>
          <w:szCs w:val="32"/>
          <w:lang w:val="en-US" w:eastAsia="zh-CN"/>
        </w:rPr>
        <w:t>2273.67</w:t>
      </w:r>
      <w:r>
        <w:rPr>
          <w:rFonts w:hint="eastAsia" w:ascii="宋体" w:hAnsi="宋体" w:eastAsia="仿宋_GB2312" w:cs="Times New Roman"/>
          <w:color w:val="000000" w:themeColor="text1"/>
          <w:sz w:val="32"/>
          <w:szCs w:val="32"/>
          <w14:textFill>
            <w14:solidFill>
              <w14:schemeClr w14:val="tx1"/>
            </w14:solidFill>
          </w14:textFill>
        </w:rPr>
        <w:t>万元</w:t>
      </w:r>
      <w:r>
        <w:rPr>
          <w:rFonts w:hint="eastAsia" w:ascii="宋体" w:hAnsi="宋体" w:eastAsia="仿宋_GB2312" w:cs="Times New Roman"/>
          <w:sz w:val="32"/>
          <w:szCs w:val="32"/>
        </w:rPr>
        <w:t>，主要是用于</w:t>
      </w:r>
      <w:r>
        <w:rPr>
          <w:rFonts w:hint="eastAsia" w:ascii="宋体" w:hAnsi="宋体" w:eastAsia="仿宋_GB2312" w:cs="Times New Roman"/>
          <w:sz w:val="32"/>
          <w:szCs w:val="32"/>
          <w:lang w:val="en-US" w:eastAsia="zh-CN"/>
        </w:rPr>
        <w:t>征地和拆迁补偿支出</w:t>
      </w:r>
      <w:r>
        <w:rPr>
          <w:rFonts w:hint="eastAsia" w:ascii="宋体" w:hAnsi="宋体" w:eastAsia="仿宋_GB2312" w:cs="Times New Roman"/>
          <w:sz w:val="32"/>
          <w:szCs w:val="32"/>
        </w:rPr>
        <w:t>。</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spacing w:line="204" w:lineRule="auto"/>
        <w:ind w:firstLine="640" w:firstLineChars="200"/>
        <w:jc w:val="left"/>
        <w:rPr>
          <w:rFonts w:hint="eastAsia" w:ascii="宋体" w:hAnsi="宋体" w:eastAsia="仿宋_GB2312" w:cs="Times New Roman"/>
          <w:sz w:val="32"/>
          <w:szCs w:val="32"/>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27.54</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年减少</w:t>
      </w:r>
      <w:r>
        <w:rPr>
          <w:rFonts w:hint="eastAsia" w:ascii="宋体" w:hAnsi="宋体" w:eastAsia="仿宋_GB2312" w:cs="Times New Roman"/>
          <w:sz w:val="32"/>
          <w:szCs w:val="32"/>
          <w:lang w:val="en-US" w:eastAsia="zh-CN"/>
        </w:rPr>
        <w:t>417.8</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93.82</w:t>
      </w:r>
      <w:r>
        <w:rPr>
          <w:rFonts w:hint="eastAsia" w:ascii="宋体" w:hAnsi="宋体" w:eastAsia="仿宋_GB2312" w:cs="Times New Roman"/>
          <w:sz w:val="32"/>
          <w:szCs w:val="32"/>
        </w:rPr>
        <w:t>%，主要原因是</w:t>
      </w:r>
      <w:r>
        <w:rPr>
          <w:rFonts w:hint="eastAsia" w:ascii="宋体" w:hAnsi="宋体" w:eastAsia="仿宋_GB2312" w:cs="Times New Roman"/>
          <w:color w:val="000000" w:themeColor="text1"/>
          <w:sz w:val="32"/>
          <w:szCs w:val="32"/>
          <w:lang w:val="en-US" w:eastAsia="zh-CN"/>
          <w14:textFill>
            <w14:solidFill>
              <w14:schemeClr w14:val="tx1"/>
            </w14:solidFill>
          </w14:textFill>
        </w:rPr>
        <w:t>2021年移除了村级运转经费</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color w:val="000000" w:themeColor="text1"/>
          <w:sz w:val="32"/>
          <w:szCs w:val="32"/>
          <w14:textFill>
            <w14:solidFill>
              <w14:schemeClr w14:val="tx1"/>
            </w14:solidFill>
          </w14:textFill>
        </w:rPr>
      </w:pPr>
      <w:r>
        <w:rPr>
          <w:rFonts w:hint="eastAsia" w:ascii="宋体" w:hAnsi="宋体" w:eastAsia="仿宋_GB2312" w:cs="Times New Roman"/>
          <w:color w:val="000000" w:themeColor="text1"/>
          <w:sz w:val="32"/>
          <w:szCs w:val="32"/>
          <w:lang w:val="en-US" w:eastAsia="zh-CN"/>
          <w14:textFill>
            <w14:solidFill>
              <w14:schemeClr w14:val="tx1"/>
            </w14:solidFill>
          </w14:textFill>
        </w:rPr>
        <w:t>2021年</w:t>
      </w:r>
      <w:r>
        <w:rPr>
          <w:rFonts w:hint="eastAsia" w:ascii="宋体" w:hAnsi="宋体" w:eastAsia="仿宋_GB2312" w:cs="Times New Roman"/>
          <w:color w:val="000000" w:themeColor="text1"/>
          <w:sz w:val="32"/>
          <w:szCs w:val="32"/>
          <w14:textFill>
            <w14:solidFill>
              <w14:schemeClr w14:val="tx1"/>
            </w14:solidFill>
          </w14:textFill>
        </w:rPr>
        <w:t>本</w:t>
      </w:r>
      <w:r>
        <w:rPr>
          <w:rFonts w:hint="eastAsia" w:ascii="宋体" w:hAnsi="宋体" w:eastAsia="仿宋_GB2312" w:cs="Times New Roman"/>
          <w:color w:val="000000" w:themeColor="text1"/>
          <w:sz w:val="32"/>
          <w:szCs w:val="32"/>
          <w:lang w:val="en-US" w:eastAsia="zh-CN"/>
          <w14:textFill>
            <w14:solidFill>
              <w14:schemeClr w14:val="tx1"/>
            </w14:solidFill>
          </w14:textFill>
        </w:rPr>
        <w:t>单位</w:t>
      </w:r>
      <w:r>
        <w:rPr>
          <w:rFonts w:hint="eastAsia" w:ascii="宋体" w:hAnsi="宋体" w:eastAsia="仿宋_GB2312" w:cs="Times New Roman"/>
          <w:color w:val="000000" w:themeColor="text1"/>
          <w:sz w:val="32"/>
          <w:szCs w:val="32"/>
          <w14:textFill>
            <w14:solidFill>
              <w14:schemeClr w14:val="tx1"/>
            </w14:solidFill>
          </w14:textFill>
        </w:rPr>
        <w:t>无政府采购业务支出情况。</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w:t>
      </w:r>
      <w:r>
        <w:rPr>
          <w:rFonts w:hint="eastAsia" w:ascii="宋体" w:hAnsi="宋体" w:eastAsia="仿宋_GB2312" w:cs="Times New Roman"/>
          <w:color w:val="000000" w:themeColor="text1"/>
          <w:sz w:val="32"/>
          <w:szCs w:val="32"/>
          <w14:textFill>
            <w14:solidFill>
              <w14:schemeClr w14:val="tx1"/>
            </w14:solidFill>
          </w14:textFill>
        </w:rPr>
        <w:t>本部门共有车辆</w:t>
      </w:r>
      <w:r>
        <w:rPr>
          <w:rFonts w:hint="eastAsia" w:ascii="宋体" w:hAnsi="宋体" w:eastAsia="仿宋_GB2312" w:cs="Times New Roman"/>
          <w:color w:val="000000" w:themeColor="text1"/>
          <w:sz w:val="32"/>
          <w:szCs w:val="32"/>
          <w:lang w:val="en-US" w:eastAsia="zh-CN"/>
          <w14:textFill>
            <w14:solidFill>
              <w14:schemeClr w14:val="tx1"/>
            </w14:solidFill>
          </w14:textFill>
        </w:rPr>
        <w:t>1</w:t>
      </w:r>
      <w:r>
        <w:rPr>
          <w:rFonts w:hint="eastAsia" w:ascii="宋体" w:hAnsi="宋体" w:eastAsia="仿宋_GB2312" w:cs="Times New Roman"/>
          <w:color w:val="000000" w:themeColor="text1"/>
          <w:sz w:val="32"/>
          <w:szCs w:val="32"/>
          <w14:textFill>
            <w14:solidFill>
              <w14:schemeClr w14:val="tx1"/>
            </w14:solidFill>
          </w14:textFill>
        </w:rPr>
        <w:t>辆，其中，主要领导干部用车</w:t>
      </w:r>
      <w:r>
        <w:rPr>
          <w:rFonts w:hint="eastAsia" w:ascii="宋体" w:hAnsi="宋体" w:eastAsia="仿宋_GB2312" w:cs="Times New Roman"/>
          <w:color w:val="000000" w:themeColor="text1"/>
          <w:sz w:val="32"/>
          <w:szCs w:val="32"/>
          <w:lang w:val="en-US" w:eastAsia="zh-CN"/>
          <w14:textFill>
            <w14:solidFill>
              <w14:schemeClr w14:val="tx1"/>
            </w14:solidFill>
          </w14:textFill>
        </w:rPr>
        <w:t>0</w:t>
      </w:r>
      <w:r>
        <w:rPr>
          <w:rFonts w:hint="eastAsia" w:ascii="宋体" w:hAnsi="宋体" w:eastAsia="仿宋_GB2312" w:cs="Times New Roman"/>
          <w:color w:val="000000" w:themeColor="text1"/>
          <w:sz w:val="32"/>
          <w:szCs w:val="32"/>
          <w14:textFill>
            <w14:solidFill>
              <w14:schemeClr w14:val="tx1"/>
            </w14:solidFill>
          </w14:textFill>
        </w:rPr>
        <w:t>辆、机要通信用车</w:t>
      </w:r>
      <w:r>
        <w:rPr>
          <w:rFonts w:hint="eastAsia" w:ascii="宋体" w:hAnsi="宋体" w:eastAsia="仿宋_GB2312" w:cs="Times New Roman"/>
          <w:color w:val="000000" w:themeColor="text1"/>
          <w:sz w:val="32"/>
          <w:szCs w:val="32"/>
          <w:lang w:val="en-US" w:eastAsia="zh-CN"/>
          <w14:textFill>
            <w14:solidFill>
              <w14:schemeClr w14:val="tx1"/>
            </w14:solidFill>
          </w14:textFill>
        </w:rPr>
        <w:t>0</w:t>
      </w:r>
      <w:r>
        <w:rPr>
          <w:rFonts w:hint="eastAsia" w:ascii="宋体" w:hAnsi="宋体" w:eastAsia="仿宋_GB2312" w:cs="Times New Roman"/>
          <w:color w:val="000000" w:themeColor="text1"/>
          <w:sz w:val="32"/>
          <w:szCs w:val="32"/>
          <w14:textFill>
            <w14:solidFill>
              <w14:schemeClr w14:val="tx1"/>
            </w14:solidFill>
          </w14:textFill>
        </w:rPr>
        <w:t>辆、应急保障用车</w:t>
      </w:r>
      <w:r>
        <w:rPr>
          <w:rFonts w:hint="eastAsia" w:ascii="宋体" w:hAnsi="宋体" w:eastAsia="仿宋_GB2312" w:cs="Times New Roman"/>
          <w:color w:val="000000" w:themeColor="text1"/>
          <w:sz w:val="32"/>
          <w:szCs w:val="32"/>
          <w:lang w:val="en-US" w:eastAsia="zh-CN"/>
          <w14:textFill>
            <w14:solidFill>
              <w14:schemeClr w14:val="tx1"/>
            </w14:solidFill>
          </w14:textFill>
        </w:rPr>
        <w:t>1</w:t>
      </w:r>
      <w:r>
        <w:rPr>
          <w:rFonts w:hint="eastAsia" w:ascii="宋体" w:hAnsi="宋体" w:eastAsia="仿宋_GB2312" w:cs="Times New Roman"/>
          <w:color w:val="000000" w:themeColor="text1"/>
          <w:sz w:val="32"/>
          <w:szCs w:val="32"/>
          <w14:textFill>
            <w14:solidFill>
              <w14:schemeClr w14:val="tx1"/>
            </w14:solidFill>
          </w14:textFill>
        </w:rPr>
        <w:t>辆、执法执勤用车</w:t>
      </w:r>
      <w:r>
        <w:rPr>
          <w:rFonts w:hint="eastAsia" w:ascii="宋体" w:hAnsi="宋体" w:eastAsia="仿宋_GB2312" w:cs="Times New Roman"/>
          <w:color w:val="000000" w:themeColor="text1"/>
          <w:sz w:val="32"/>
          <w:szCs w:val="32"/>
          <w:lang w:val="en-US" w:eastAsia="zh-CN"/>
          <w14:textFill>
            <w14:solidFill>
              <w14:schemeClr w14:val="tx1"/>
            </w14:solidFill>
          </w14:textFill>
        </w:rPr>
        <w:t>0</w:t>
      </w:r>
      <w:r>
        <w:rPr>
          <w:rFonts w:hint="eastAsia" w:ascii="宋体" w:hAnsi="宋体" w:eastAsia="仿宋_GB2312" w:cs="Times New Roman"/>
          <w:color w:val="000000" w:themeColor="text1"/>
          <w:sz w:val="32"/>
          <w:szCs w:val="32"/>
          <w14:textFill>
            <w14:solidFill>
              <w14:schemeClr w14:val="tx1"/>
            </w14:solidFill>
          </w14:textFill>
        </w:rPr>
        <w:t>辆、特 种专业技术用车</w:t>
      </w:r>
      <w:r>
        <w:rPr>
          <w:rFonts w:hint="eastAsia" w:ascii="宋体" w:hAnsi="宋体" w:eastAsia="仿宋_GB2312" w:cs="Times New Roman"/>
          <w:color w:val="000000" w:themeColor="text1"/>
          <w:sz w:val="32"/>
          <w:szCs w:val="32"/>
          <w:lang w:val="en-US" w:eastAsia="zh-CN"/>
          <w14:textFill>
            <w14:solidFill>
              <w14:schemeClr w14:val="tx1"/>
            </w14:solidFill>
          </w14:textFill>
        </w:rPr>
        <w:t>0</w:t>
      </w:r>
      <w:r>
        <w:rPr>
          <w:rFonts w:hint="eastAsia" w:ascii="宋体" w:hAnsi="宋体" w:eastAsia="仿宋_GB2312" w:cs="Times New Roman"/>
          <w:color w:val="000000" w:themeColor="text1"/>
          <w:sz w:val="32"/>
          <w:szCs w:val="32"/>
          <w14:textFill>
            <w14:solidFill>
              <w14:schemeClr w14:val="tx1"/>
            </w14:solidFill>
          </w14:textFill>
        </w:rPr>
        <w:t>辆、离退休干部用车</w:t>
      </w:r>
      <w:r>
        <w:rPr>
          <w:rFonts w:hint="eastAsia" w:ascii="宋体" w:hAnsi="宋体" w:eastAsia="仿宋_GB2312" w:cs="Times New Roman"/>
          <w:color w:val="000000" w:themeColor="text1"/>
          <w:sz w:val="32"/>
          <w:szCs w:val="32"/>
          <w:lang w:val="en-US" w:eastAsia="zh-CN"/>
          <w14:textFill>
            <w14:solidFill>
              <w14:schemeClr w14:val="tx1"/>
            </w14:solidFill>
          </w14:textFill>
        </w:rPr>
        <w:t>0</w:t>
      </w:r>
      <w:r>
        <w:rPr>
          <w:rFonts w:hint="eastAsia" w:ascii="宋体" w:hAnsi="宋体" w:eastAsia="仿宋_GB2312" w:cs="Times New Roman"/>
          <w:color w:val="000000" w:themeColor="text1"/>
          <w:sz w:val="32"/>
          <w:szCs w:val="32"/>
          <w14:textFill>
            <w14:solidFill>
              <w14:schemeClr w14:val="tx1"/>
            </w14:solidFill>
          </w14:textFill>
        </w:rPr>
        <w:t>辆、其他用车</w:t>
      </w:r>
      <w:r>
        <w:rPr>
          <w:rFonts w:hint="eastAsia" w:ascii="宋体" w:hAnsi="宋体" w:eastAsia="仿宋_GB2312" w:cs="Times New Roman"/>
          <w:color w:val="000000" w:themeColor="text1"/>
          <w:sz w:val="32"/>
          <w:szCs w:val="32"/>
          <w:lang w:val="en-US" w:eastAsia="zh-CN"/>
          <w14:textFill>
            <w14:solidFill>
              <w14:schemeClr w14:val="tx1"/>
            </w14:solidFill>
          </w14:textFill>
        </w:rPr>
        <w:t>0</w:t>
      </w:r>
      <w:r>
        <w:rPr>
          <w:rFonts w:hint="eastAsia" w:ascii="宋体" w:hAnsi="宋体" w:eastAsia="仿宋_GB2312" w:cs="Times New Roman"/>
          <w:color w:val="000000" w:themeColor="text1"/>
          <w:sz w:val="32"/>
          <w:szCs w:val="32"/>
          <w14:textFill>
            <w14:solidFill>
              <w14:schemeClr w14:val="tx1"/>
            </w14:solidFill>
          </w14:textFill>
        </w:rPr>
        <w:t>辆， 单价50万元（含）以上的通用设备</w:t>
      </w:r>
      <w:r>
        <w:rPr>
          <w:rFonts w:hint="eastAsia" w:ascii="宋体" w:hAnsi="宋体" w:eastAsia="仿宋_GB2312" w:cs="Times New Roman"/>
          <w:color w:val="000000" w:themeColor="text1"/>
          <w:sz w:val="32"/>
          <w:szCs w:val="32"/>
          <w:lang w:val="en-US" w:eastAsia="zh-CN"/>
          <w14:textFill>
            <w14:solidFill>
              <w14:schemeClr w14:val="tx1"/>
            </w14:solidFill>
          </w14:textFill>
        </w:rPr>
        <w:t>0</w:t>
      </w:r>
      <w:r>
        <w:rPr>
          <w:rFonts w:hint="eastAsia" w:ascii="宋体" w:hAnsi="宋体" w:eastAsia="仿宋_GB2312" w:cs="Times New Roman"/>
          <w:color w:val="000000" w:themeColor="text1"/>
          <w:sz w:val="32"/>
          <w:szCs w:val="32"/>
          <w14:textFill>
            <w14:solidFill>
              <w14:schemeClr w14:val="tx1"/>
            </w14:solidFill>
          </w14:textFill>
        </w:rPr>
        <w:t>台（套）， 单价100万元（含）以上专用设备</w:t>
      </w:r>
      <w:r>
        <w:rPr>
          <w:rFonts w:hint="eastAsia" w:ascii="宋体" w:hAnsi="宋体" w:eastAsia="仿宋_GB2312" w:cs="Times New Roman"/>
          <w:color w:val="000000" w:themeColor="text1"/>
          <w:sz w:val="32"/>
          <w:szCs w:val="32"/>
          <w:lang w:val="en-US" w:eastAsia="zh-CN"/>
          <w14:textFill>
            <w14:solidFill>
              <w14:schemeClr w14:val="tx1"/>
            </w14:solidFill>
          </w14:textFill>
        </w:rPr>
        <w:t>0</w:t>
      </w:r>
      <w:r>
        <w:rPr>
          <w:rFonts w:hint="eastAsia" w:ascii="宋体" w:hAnsi="宋体" w:eastAsia="仿宋_GB2312" w:cs="Times New Roman"/>
          <w:color w:val="000000" w:themeColor="text1"/>
          <w:sz w:val="32"/>
          <w:szCs w:val="32"/>
          <w14:textFill>
            <w14:solidFill>
              <w14:schemeClr w14:val="tx1"/>
            </w14:solidFill>
          </w14:textFill>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(1)项目绩效评价工作开展情况，包括项目绩效目标、支出绩效评价等情况。</w:t>
      </w:r>
    </w:p>
    <w:p>
      <w:pPr>
        <w:ind w:firstLine="640" w:firstLineChars="200"/>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年度单位实行绩效目标管理的项目</w:t>
      </w:r>
      <w:r>
        <w:rPr>
          <w:rFonts w:hint="eastAsia" w:ascii="宋体" w:hAnsi="宋体" w:eastAsia="仿宋_GB2312" w:cs="Times New Roman"/>
          <w:sz w:val="32"/>
          <w:szCs w:val="32"/>
          <w:lang w:val="en-US" w:eastAsia="zh-CN"/>
        </w:rPr>
        <w:t>41</w:t>
      </w:r>
      <w:r>
        <w:rPr>
          <w:rFonts w:hint="eastAsia" w:ascii="宋体" w:hAnsi="宋体" w:eastAsia="仿宋_GB2312" w:cs="Times New Roman"/>
          <w:sz w:val="32"/>
          <w:szCs w:val="32"/>
        </w:rPr>
        <w:t>个，</w:t>
      </w:r>
      <w:r>
        <w:rPr>
          <w:rFonts w:hint="eastAsia" w:ascii="宋体" w:hAnsi="宋体" w:eastAsia="仿宋_GB2312" w:cs="Times New Roman"/>
          <w:sz w:val="32"/>
          <w:szCs w:val="32"/>
          <w:lang w:val="en-US" w:eastAsia="zh-CN"/>
        </w:rPr>
        <w:t>涉及一般公共预算当年拨款4464.3万元。政府办公厅（室）及相关机构事务11个项目，支出130.27万元。主要是：2020年-2021年老旧小区改造开工启动仪式经费9.5万元、2021年纪检办案经费3万元、办公楼取暖费16万元、未发生肇事肇祸严重精神障碍患者监护人奖励奖金1万元、南城街道办事处人民政府运转经费15万元、田苗工资奖金烤火费等费用7.98万元、党建经费20万元、乡镇综合经费33万元、南城办60周岁、优抚四清借干、义务兵追加预算0.29万元，组织部长长期聘用人员生活补助4.5万元、信访维稳工作经费20万元。</w:t>
      </w:r>
    </w:p>
    <w:p>
      <w:pPr>
        <w:pStyle w:val="2"/>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社会保障和就业6个项目，支出319.44万元。其中:赵森死亡补助金4.24万元、退役军人事务局</w:t>
      </w:r>
      <w:bookmarkStart w:id="22" w:name="_GoBack"/>
      <w:bookmarkEnd w:id="22"/>
      <w:r>
        <w:rPr>
          <w:rFonts w:hint="eastAsia" w:ascii="仿宋" w:hAnsi="仿宋" w:eastAsia="仿宋" w:cs="仿宋"/>
          <w:sz w:val="32"/>
          <w:szCs w:val="32"/>
          <w:lang w:val="en-US" w:eastAsia="zh-CN"/>
        </w:rPr>
        <w:t>长期聘用人员生活补助269.23万元、预留死亡补助金17.66万元、</w:t>
      </w:r>
      <w:r>
        <w:rPr>
          <w:rFonts w:hint="eastAsia" w:ascii="宋体" w:hAnsi="宋体" w:eastAsia="仿宋_GB2312" w:cs="Times New Roman"/>
          <w:sz w:val="32"/>
          <w:szCs w:val="32"/>
          <w:lang w:val="en-US" w:eastAsia="zh-CN"/>
        </w:rPr>
        <w:t>南城办60周岁、优抚四清借干、义务兵追加预算10.92万元、民政局</w:t>
      </w:r>
      <w:r>
        <w:rPr>
          <w:rFonts w:hint="eastAsia" w:ascii="仿宋" w:hAnsi="仿宋" w:eastAsia="仿宋" w:cs="仿宋"/>
          <w:sz w:val="32"/>
          <w:szCs w:val="32"/>
          <w:lang w:val="en-US" w:eastAsia="zh-CN"/>
        </w:rPr>
        <w:t>长期聘用人员生活补助14.49万元、南城办特困人员提标追加预算2.9万元。</w:t>
      </w:r>
    </w:p>
    <w:p>
      <w:pPr>
        <w:pStyle w:val="2"/>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卫生健康支出项目2个，支出57.03万元。其中：组织部长长期聘用人员生活补助17.03万元、疫情防控经费40万元。</w:t>
      </w:r>
    </w:p>
    <w:p>
      <w:pPr>
        <w:pStyle w:val="2"/>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节能环保支出项目2个，支出347.41万元。其中:2020年煤改气居民取暖补贴资金330.36万元、南城街道办事处2020年-2021年煤改电居民用电取暖政府补贴资金17.05万元。</w:t>
      </w:r>
    </w:p>
    <w:p>
      <w:pPr>
        <w:pStyle w:val="2"/>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城乡社区支出项目9个，支出1095.73万元。其中：居民会长期聘用人员42.31万元、新增禁毒社工工资106.92万元、18个居民委员会公用资金180万元、紫金街人行道铺装相关费用35万元、老旧片区天然气改造资金62.5万元、南关小康村北片区改造工程项目资金514万元、老旧小区改造拆除违建、清理垃圾相关费用100万元、商务局办公楼改造建设工程相关费用14万元、南关小康村北片区清理违建垃圾相关费用41万元。</w:t>
      </w:r>
    </w:p>
    <w:p>
      <w:pPr>
        <w:pStyle w:val="2"/>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农林水支出项目3个，支出53.11万元。其中：农村地力保护补贴发放工作经费0.1万元、组织部长期聘用人员生活补助1.51万元、村级管理费51.5万元。</w:t>
      </w:r>
    </w:p>
    <w:p>
      <w:pPr>
        <w:pStyle w:val="2"/>
        <w:ind w:left="0" w:leftChars="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住房保障支出项目8个，支出2461.32万元。其中：2021年保障安居工程（第三批）中央基建资金256万元、南城街道办事处老旧片区（小区）自来水改造资金47万元、</w:t>
      </w:r>
      <w:r>
        <w:rPr>
          <w:rFonts w:hint="default" w:ascii="仿宋" w:hAnsi="仿宋" w:eastAsia="仿宋" w:cs="仿宋"/>
          <w:sz w:val="32"/>
          <w:szCs w:val="32"/>
          <w:lang w:val="en-US" w:eastAsia="zh-CN"/>
        </w:rPr>
        <w:t>九小东西关片区改造工程-东区</w:t>
      </w:r>
      <w:r>
        <w:rPr>
          <w:rFonts w:hint="eastAsia" w:ascii="仿宋" w:hAnsi="仿宋" w:eastAsia="仿宋" w:cs="仿宋"/>
          <w:sz w:val="32"/>
          <w:szCs w:val="32"/>
          <w:lang w:val="en-US" w:eastAsia="zh-CN"/>
        </w:rPr>
        <w:t>514.97万元、</w:t>
      </w:r>
      <w:r>
        <w:rPr>
          <w:rFonts w:hint="default" w:ascii="仿宋" w:hAnsi="仿宋" w:eastAsia="仿宋" w:cs="仿宋"/>
          <w:sz w:val="32"/>
          <w:szCs w:val="32"/>
          <w:lang w:val="en" w:eastAsia="zh-CN"/>
        </w:rPr>
        <w:t>老干部局</w:t>
      </w:r>
      <w:r>
        <w:rPr>
          <w:rFonts w:hint="eastAsia" w:ascii="仿宋" w:hAnsi="仿宋" w:eastAsia="仿宋" w:cs="仿宋"/>
          <w:sz w:val="32"/>
          <w:szCs w:val="32"/>
          <w:lang w:val="en-US" w:eastAsia="zh-CN"/>
        </w:rPr>
        <w:t>西老旧片区道路改造资金316.36万元、南关小康村老旧片区改造资金194.75万元、九小东西关片区改造工程-西区399.24万元、环保局西老旧片区道路改造资金233万元、西街八小三区改造资金（</w:t>
      </w:r>
      <w:r>
        <w:rPr>
          <w:rFonts w:hint="default" w:ascii="仿宋" w:hAnsi="仿宋" w:eastAsia="仿宋" w:cs="仿宋"/>
          <w:sz w:val="32"/>
          <w:szCs w:val="32"/>
          <w:lang w:val="en" w:eastAsia="zh-CN"/>
        </w:rPr>
        <w:t>老干部局</w:t>
      </w:r>
      <w:r>
        <w:rPr>
          <w:rFonts w:hint="eastAsia" w:ascii="仿宋" w:hAnsi="仿宋" w:eastAsia="仿宋" w:cs="仿宋"/>
          <w:sz w:val="32"/>
          <w:szCs w:val="32"/>
          <w:lang w:val="en-US" w:eastAsia="zh-CN"/>
        </w:rPr>
        <w:t>已改造片区东）500万元。</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spacing w:line="204" w:lineRule="auto"/>
        <w:ind w:firstLine="640" w:firstLineChars="200"/>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深入开展预算绩效评价工作，进一步落实支出责任。进一步拓展绩效评价管理模式，在重点项目绩效评价的基础上，开展了部门整体支出绩效评价和专项资金政策评价试点。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wYjM1N2QwODZhN2Q1ZjFlZjM4ZDA1NTEzNThjZWQifQ=="/>
  </w:docVars>
  <w:rsids>
    <w:rsidRoot w:val="7E3F0B7D"/>
    <w:rsid w:val="000014A7"/>
    <w:rsid w:val="00052B5B"/>
    <w:rsid w:val="00774AFB"/>
    <w:rsid w:val="00B13FED"/>
    <w:rsid w:val="00E4217F"/>
    <w:rsid w:val="00FC28E5"/>
    <w:rsid w:val="011A01FF"/>
    <w:rsid w:val="01800E44"/>
    <w:rsid w:val="01845E67"/>
    <w:rsid w:val="01873EB1"/>
    <w:rsid w:val="03577CF6"/>
    <w:rsid w:val="03D35134"/>
    <w:rsid w:val="042D6462"/>
    <w:rsid w:val="04615410"/>
    <w:rsid w:val="0496567A"/>
    <w:rsid w:val="04AE2EC4"/>
    <w:rsid w:val="053A39E4"/>
    <w:rsid w:val="05957AF9"/>
    <w:rsid w:val="060C7C7A"/>
    <w:rsid w:val="06A456BD"/>
    <w:rsid w:val="06F42979"/>
    <w:rsid w:val="070E3D50"/>
    <w:rsid w:val="073E3457"/>
    <w:rsid w:val="082E23A7"/>
    <w:rsid w:val="08352B8C"/>
    <w:rsid w:val="08395210"/>
    <w:rsid w:val="088703F4"/>
    <w:rsid w:val="08C211A0"/>
    <w:rsid w:val="09187DA9"/>
    <w:rsid w:val="091D6504"/>
    <w:rsid w:val="0A020ADD"/>
    <w:rsid w:val="0A9F6EF1"/>
    <w:rsid w:val="0AD2667B"/>
    <w:rsid w:val="0AD27390"/>
    <w:rsid w:val="0BF2714D"/>
    <w:rsid w:val="0DAC5732"/>
    <w:rsid w:val="0DD21A59"/>
    <w:rsid w:val="0DDA5BE2"/>
    <w:rsid w:val="0E115DFD"/>
    <w:rsid w:val="0E2C1A34"/>
    <w:rsid w:val="0E6505DF"/>
    <w:rsid w:val="0E81541D"/>
    <w:rsid w:val="0E8D7B7C"/>
    <w:rsid w:val="0F22208E"/>
    <w:rsid w:val="0FC91C56"/>
    <w:rsid w:val="0FE57A36"/>
    <w:rsid w:val="1011406F"/>
    <w:rsid w:val="107D7A0C"/>
    <w:rsid w:val="10DD3E0A"/>
    <w:rsid w:val="11690BC4"/>
    <w:rsid w:val="11BE507C"/>
    <w:rsid w:val="11D27EAE"/>
    <w:rsid w:val="11EB4A5A"/>
    <w:rsid w:val="122C6E25"/>
    <w:rsid w:val="12A0462E"/>
    <w:rsid w:val="13FC40A8"/>
    <w:rsid w:val="140E7833"/>
    <w:rsid w:val="14183E5C"/>
    <w:rsid w:val="145472AD"/>
    <w:rsid w:val="148140AE"/>
    <w:rsid w:val="1506026D"/>
    <w:rsid w:val="15510B47"/>
    <w:rsid w:val="15542077"/>
    <w:rsid w:val="166017EB"/>
    <w:rsid w:val="16856BEF"/>
    <w:rsid w:val="17A971F9"/>
    <w:rsid w:val="17B66358"/>
    <w:rsid w:val="18436207"/>
    <w:rsid w:val="18530041"/>
    <w:rsid w:val="185C0A4F"/>
    <w:rsid w:val="199932F0"/>
    <w:rsid w:val="19BF5BC0"/>
    <w:rsid w:val="1A56009B"/>
    <w:rsid w:val="1A6C3D6A"/>
    <w:rsid w:val="1B2851E5"/>
    <w:rsid w:val="1B373956"/>
    <w:rsid w:val="1B622A21"/>
    <w:rsid w:val="1BA01CAD"/>
    <w:rsid w:val="1C2A1A0C"/>
    <w:rsid w:val="1C5C6E26"/>
    <w:rsid w:val="1D4F5C7C"/>
    <w:rsid w:val="1DC3342E"/>
    <w:rsid w:val="1E750625"/>
    <w:rsid w:val="1EA8297C"/>
    <w:rsid w:val="1EBD6B86"/>
    <w:rsid w:val="1ED23EE1"/>
    <w:rsid w:val="1F7C48E2"/>
    <w:rsid w:val="20216827"/>
    <w:rsid w:val="20293742"/>
    <w:rsid w:val="203812E1"/>
    <w:rsid w:val="20C04995"/>
    <w:rsid w:val="20D97C1B"/>
    <w:rsid w:val="215D4AC6"/>
    <w:rsid w:val="218F7683"/>
    <w:rsid w:val="22094B02"/>
    <w:rsid w:val="226D19CE"/>
    <w:rsid w:val="23074C26"/>
    <w:rsid w:val="23553F43"/>
    <w:rsid w:val="23D16292"/>
    <w:rsid w:val="24852555"/>
    <w:rsid w:val="24C442A7"/>
    <w:rsid w:val="26286185"/>
    <w:rsid w:val="26880498"/>
    <w:rsid w:val="26A014E7"/>
    <w:rsid w:val="26D34907"/>
    <w:rsid w:val="26EE0557"/>
    <w:rsid w:val="2758570E"/>
    <w:rsid w:val="278D31B8"/>
    <w:rsid w:val="279F7814"/>
    <w:rsid w:val="27C241FD"/>
    <w:rsid w:val="29015BBA"/>
    <w:rsid w:val="295817F0"/>
    <w:rsid w:val="299664C8"/>
    <w:rsid w:val="29C02235"/>
    <w:rsid w:val="2A54043E"/>
    <w:rsid w:val="2B0E7872"/>
    <w:rsid w:val="2B73198D"/>
    <w:rsid w:val="2BA40CD8"/>
    <w:rsid w:val="2C457B14"/>
    <w:rsid w:val="2C8B2498"/>
    <w:rsid w:val="2C8E7B14"/>
    <w:rsid w:val="2CDE628C"/>
    <w:rsid w:val="2CF371B8"/>
    <w:rsid w:val="2D785034"/>
    <w:rsid w:val="2DB55221"/>
    <w:rsid w:val="2DE90A80"/>
    <w:rsid w:val="2E1E2C6A"/>
    <w:rsid w:val="2E4C0A15"/>
    <w:rsid w:val="2E6642E8"/>
    <w:rsid w:val="2ED1524F"/>
    <w:rsid w:val="2F447A50"/>
    <w:rsid w:val="2F834BD4"/>
    <w:rsid w:val="30620E44"/>
    <w:rsid w:val="30E62026"/>
    <w:rsid w:val="314D6F62"/>
    <w:rsid w:val="326E1BDE"/>
    <w:rsid w:val="3389493D"/>
    <w:rsid w:val="339476CE"/>
    <w:rsid w:val="33E52ABC"/>
    <w:rsid w:val="359D1DBE"/>
    <w:rsid w:val="359F5481"/>
    <w:rsid w:val="35AA3AE5"/>
    <w:rsid w:val="35DD6C3D"/>
    <w:rsid w:val="364945F0"/>
    <w:rsid w:val="373F6B15"/>
    <w:rsid w:val="37563DB1"/>
    <w:rsid w:val="37CC2C4B"/>
    <w:rsid w:val="38014B8E"/>
    <w:rsid w:val="384D2A5E"/>
    <w:rsid w:val="38622459"/>
    <w:rsid w:val="38CE2BDB"/>
    <w:rsid w:val="38D85C09"/>
    <w:rsid w:val="38DC1ADD"/>
    <w:rsid w:val="390D359C"/>
    <w:rsid w:val="39106B1C"/>
    <w:rsid w:val="395947C1"/>
    <w:rsid w:val="396F1B50"/>
    <w:rsid w:val="399022AF"/>
    <w:rsid w:val="3A155D1A"/>
    <w:rsid w:val="3A66209D"/>
    <w:rsid w:val="3A6D5BFF"/>
    <w:rsid w:val="3AB96B09"/>
    <w:rsid w:val="3C566D1A"/>
    <w:rsid w:val="3E23274F"/>
    <w:rsid w:val="3E973FD6"/>
    <w:rsid w:val="3F28132A"/>
    <w:rsid w:val="3F403F92"/>
    <w:rsid w:val="3F5E2561"/>
    <w:rsid w:val="409A1737"/>
    <w:rsid w:val="40AB2E7B"/>
    <w:rsid w:val="40BE110B"/>
    <w:rsid w:val="41D371BC"/>
    <w:rsid w:val="42131FC7"/>
    <w:rsid w:val="42D124BD"/>
    <w:rsid w:val="435332E1"/>
    <w:rsid w:val="444E64C8"/>
    <w:rsid w:val="44B53A38"/>
    <w:rsid w:val="46693825"/>
    <w:rsid w:val="466D691C"/>
    <w:rsid w:val="47030045"/>
    <w:rsid w:val="48142A76"/>
    <w:rsid w:val="4853208B"/>
    <w:rsid w:val="4861408A"/>
    <w:rsid w:val="48874E58"/>
    <w:rsid w:val="49221B6F"/>
    <w:rsid w:val="4931359E"/>
    <w:rsid w:val="49507202"/>
    <w:rsid w:val="49AC619F"/>
    <w:rsid w:val="49D91AD7"/>
    <w:rsid w:val="4A113318"/>
    <w:rsid w:val="4A2103B2"/>
    <w:rsid w:val="4AEF3C71"/>
    <w:rsid w:val="4B5221F7"/>
    <w:rsid w:val="4C8D21B1"/>
    <w:rsid w:val="4CAC5422"/>
    <w:rsid w:val="4CDF11C7"/>
    <w:rsid w:val="4D061DB4"/>
    <w:rsid w:val="4D422189"/>
    <w:rsid w:val="4D837976"/>
    <w:rsid w:val="4DB05B23"/>
    <w:rsid w:val="4E2852C9"/>
    <w:rsid w:val="4E600717"/>
    <w:rsid w:val="4ED11E9C"/>
    <w:rsid w:val="4F0A1772"/>
    <w:rsid w:val="4F9276FB"/>
    <w:rsid w:val="50AB74B9"/>
    <w:rsid w:val="50CA00C3"/>
    <w:rsid w:val="50E52EFA"/>
    <w:rsid w:val="50F22EB9"/>
    <w:rsid w:val="519476C6"/>
    <w:rsid w:val="51DB59C3"/>
    <w:rsid w:val="51F130EF"/>
    <w:rsid w:val="52030F1E"/>
    <w:rsid w:val="52AF12C2"/>
    <w:rsid w:val="52BD55B8"/>
    <w:rsid w:val="52C13D51"/>
    <w:rsid w:val="530920F4"/>
    <w:rsid w:val="53541EA6"/>
    <w:rsid w:val="5374770D"/>
    <w:rsid w:val="53CE5F1C"/>
    <w:rsid w:val="54573B63"/>
    <w:rsid w:val="546251D5"/>
    <w:rsid w:val="54697F16"/>
    <w:rsid w:val="547C546B"/>
    <w:rsid w:val="553228D3"/>
    <w:rsid w:val="55890685"/>
    <w:rsid w:val="56842369"/>
    <w:rsid w:val="56A9691B"/>
    <w:rsid w:val="573839F8"/>
    <w:rsid w:val="57FB621D"/>
    <w:rsid w:val="58720C25"/>
    <w:rsid w:val="58D661C3"/>
    <w:rsid w:val="599A6EBE"/>
    <w:rsid w:val="59A91529"/>
    <w:rsid w:val="5A091D0F"/>
    <w:rsid w:val="5AF52D7E"/>
    <w:rsid w:val="5B3A3937"/>
    <w:rsid w:val="5B793D15"/>
    <w:rsid w:val="5B9F1E44"/>
    <w:rsid w:val="5BD86756"/>
    <w:rsid w:val="5C361AA5"/>
    <w:rsid w:val="5CD5233E"/>
    <w:rsid w:val="5D683F34"/>
    <w:rsid w:val="5DDA6B15"/>
    <w:rsid w:val="5E852458"/>
    <w:rsid w:val="5EFC17B6"/>
    <w:rsid w:val="5F787C7F"/>
    <w:rsid w:val="5F950057"/>
    <w:rsid w:val="5FF70521"/>
    <w:rsid w:val="6042526D"/>
    <w:rsid w:val="60581B43"/>
    <w:rsid w:val="60857AFD"/>
    <w:rsid w:val="6088398B"/>
    <w:rsid w:val="60A6304B"/>
    <w:rsid w:val="60A95FE4"/>
    <w:rsid w:val="6128653B"/>
    <w:rsid w:val="61B03F6F"/>
    <w:rsid w:val="61B75D5D"/>
    <w:rsid w:val="62062EE2"/>
    <w:rsid w:val="624D1BE7"/>
    <w:rsid w:val="63734A79"/>
    <w:rsid w:val="649D79B2"/>
    <w:rsid w:val="64FE138C"/>
    <w:rsid w:val="651009FB"/>
    <w:rsid w:val="6544153D"/>
    <w:rsid w:val="664652B7"/>
    <w:rsid w:val="66663292"/>
    <w:rsid w:val="66F27619"/>
    <w:rsid w:val="6711635F"/>
    <w:rsid w:val="67B76348"/>
    <w:rsid w:val="67C603C8"/>
    <w:rsid w:val="68CD37BD"/>
    <w:rsid w:val="695B77CD"/>
    <w:rsid w:val="69791722"/>
    <w:rsid w:val="697D286C"/>
    <w:rsid w:val="69AD0849"/>
    <w:rsid w:val="6A996325"/>
    <w:rsid w:val="6AF847E6"/>
    <w:rsid w:val="6B253204"/>
    <w:rsid w:val="6B6D49D9"/>
    <w:rsid w:val="6B891A06"/>
    <w:rsid w:val="6BA937BF"/>
    <w:rsid w:val="6BDF40AA"/>
    <w:rsid w:val="6BEF5F72"/>
    <w:rsid w:val="6C1A7B0B"/>
    <w:rsid w:val="6C3D2F99"/>
    <w:rsid w:val="6C46202C"/>
    <w:rsid w:val="6C940C35"/>
    <w:rsid w:val="6CAD732D"/>
    <w:rsid w:val="6CDD4D72"/>
    <w:rsid w:val="6D2344C9"/>
    <w:rsid w:val="6D453B54"/>
    <w:rsid w:val="6D526562"/>
    <w:rsid w:val="6D6219BE"/>
    <w:rsid w:val="6DAE0725"/>
    <w:rsid w:val="6DF32E16"/>
    <w:rsid w:val="6DFC657B"/>
    <w:rsid w:val="6E560655"/>
    <w:rsid w:val="6E99685C"/>
    <w:rsid w:val="6EA5468E"/>
    <w:rsid w:val="6EAF41C7"/>
    <w:rsid w:val="6EE8501E"/>
    <w:rsid w:val="6F885AFE"/>
    <w:rsid w:val="6FEF5FA1"/>
    <w:rsid w:val="70921D19"/>
    <w:rsid w:val="715F4D96"/>
    <w:rsid w:val="718C2CC2"/>
    <w:rsid w:val="71956D10"/>
    <w:rsid w:val="719A1406"/>
    <w:rsid w:val="72811BD0"/>
    <w:rsid w:val="72A20EEE"/>
    <w:rsid w:val="72C82EEF"/>
    <w:rsid w:val="73A479BF"/>
    <w:rsid w:val="741A3316"/>
    <w:rsid w:val="74282A88"/>
    <w:rsid w:val="744148C4"/>
    <w:rsid w:val="74DA2BD8"/>
    <w:rsid w:val="75036509"/>
    <w:rsid w:val="755A4930"/>
    <w:rsid w:val="75C4609B"/>
    <w:rsid w:val="75E85E46"/>
    <w:rsid w:val="75EE7330"/>
    <w:rsid w:val="760C3851"/>
    <w:rsid w:val="76557627"/>
    <w:rsid w:val="76722327"/>
    <w:rsid w:val="76B63DE3"/>
    <w:rsid w:val="777B410D"/>
    <w:rsid w:val="77BB022D"/>
    <w:rsid w:val="77F869DC"/>
    <w:rsid w:val="78120596"/>
    <w:rsid w:val="794A5851"/>
    <w:rsid w:val="79727A5F"/>
    <w:rsid w:val="79CE6482"/>
    <w:rsid w:val="79EA3938"/>
    <w:rsid w:val="79EC2B35"/>
    <w:rsid w:val="7A963BE4"/>
    <w:rsid w:val="7AB14FDF"/>
    <w:rsid w:val="7B285450"/>
    <w:rsid w:val="7BB70FBB"/>
    <w:rsid w:val="7C3D6C11"/>
    <w:rsid w:val="7D4F134F"/>
    <w:rsid w:val="7D65398A"/>
    <w:rsid w:val="7DF6057C"/>
    <w:rsid w:val="7E3F0B7D"/>
    <w:rsid w:val="7E78604E"/>
    <w:rsid w:val="7EF425EE"/>
    <w:rsid w:val="7EFB6A76"/>
    <w:rsid w:val="7F3647F4"/>
    <w:rsid w:val="7F954FEA"/>
    <w:rsid w:val="7FB06E2F"/>
    <w:rsid w:val="7FFC9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4303</Words>
  <Characters>4900</Characters>
  <Lines>5</Lines>
  <Paragraphs>7</Paragraphs>
  <TotalTime>49</TotalTime>
  <ScaleCrop>false</ScaleCrop>
  <LinksUpToDate>false</LinksUpToDate>
  <CharactersWithSpaces>4960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2021-10-29T02:29:00Z</dcterms:created>
  <dc:creator>Administrator</dc:creator>
  <cp:lastModifiedBy>宸希</cp:lastModifiedBy>
  <cp:lastPrinted>2021-10-29T03:45:00Z</cp:lastPrinted>
  <dcterms:modified xsi:type="dcterms:W3CDTF">2023-07-11T08:03:26Z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965E2F00EE874E6F8B80DDC252417D4A_12</vt:lpwstr>
  </property>
</Properties>
</file>