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default" w:ascii="黑体" w:eastAsia="黑体"/>
          <w:sz w:val="44"/>
          <w:szCs w:val="44"/>
          <w:lang w:val="en-US" w:eastAsia="zh-CN"/>
        </w:rPr>
      </w:pPr>
      <w:r>
        <w:rPr>
          <w:rFonts w:hint="eastAsia" w:ascii="黑体" w:eastAsia="黑体"/>
          <w:sz w:val="44"/>
          <w:szCs w:val="44"/>
        </w:rPr>
        <w:t>中共朔州市朔城区委员会办公室</w:t>
      </w:r>
      <w:r>
        <w:rPr>
          <w:rFonts w:hint="eastAsia" w:ascii="黑体" w:eastAsia="黑体"/>
          <w:sz w:val="44"/>
          <w:szCs w:val="44"/>
          <w:lang w:val="en-US" w:eastAsia="zh-CN"/>
        </w:rPr>
        <w:t>(本级)</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1、负责区委会议的准备和组织协调工作，办理区委领导同志交办的事项。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2、围绕区委工作部署，为区委科学决策提出建设、预案和依据。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3、负责区委文件和区委领导同志文稿的起草、校核、印发工作，负责文书处理，及时、准确、全面地向上级报送信息，反映有关动态。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4、负责上级重大方针政策、重要工作部署和领导同志重要批示、批件贯彻落实情况的督促检查工作；负责区委领导民情调查的服务和区民情调查工作的组织和指导工作。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5、负责区委值班工作，会务工作。及时向区委领导同志报告重要情况，协助处理区直各部门和各乡镇（街道），向区委反映的重要问题。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6、负责全区党政系统机要密码通信和密码管理。负责全区保密工作的规划、宣传教育、指导协调、监督管理负责信息化中心的技术防范和管理。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7、完成上级的改革任务。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8、办理区委和区委领导同志交办的其他事项。   </w:t>
      </w:r>
    </w:p>
    <w:p>
      <w:pPr>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本单位内设10个科室，下属5个单位：区委党史研究室，区委信息化中心，区委改革办,老促会，关工办。从预算单位构成看，中共朔州市朔城区委办公室决算包括：本级决算。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highlight w:val="none"/>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600.12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600.12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106.26</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106.26</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减少</w:t>
      </w:r>
      <w:r>
        <w:rPr>
          <w:rFonts w:hint="eastAsia" w:ascii="宋体" w:hAnsi="宋体" w:eastAsia="仿宋_GB2312" w:cs="Times New Roman"/>
          <w:sz w:val="32"/>
          <w:szCs w:val="32"/>
          <w:highlight w:val="none"/>
        </w:rPr>
        <w:t>深化改革办工作经费</w:t>
      </w:r>
      <w:r>
        <w:rPr>
          <w:rFonts w:hint="eastAsia" w:ascii="宋体" w:hAnsi="宋体" w:eastAsia="仿宋_GB2312" w:cs="Times New Roman"/>
          <w:sz w:val="32"/>
          <w:szCs w:val="32"/>
          <w:highlight w:val="none"/>
          <w:lang w:eastAsia="zh-CN"/>
        </w:rPr>
        <w:t>、党史研究室经费等项目支出。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600.12</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600.12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600.12</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368.24</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231.88</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highlight w:val="yellow"/>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600.12</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600.12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106.26</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15.04</w:t>
      </w:r>
      <w:r>
        <w:rPr>
          <w:rFonts w:hint="eastAsia" w:ascii="宋体" w:hAnsi="宋体" w:eastAsia="仿宋_GB2312" w:cs="Times New Roman"/>
          <w:sz w:val="32"/>
          <w:szCs w:val="32"/>
        </w:rPr>
        <w:t>%。</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减少</w:t>
      </w:r>
      <w:r>
        <w:rPr>
          <w:rFonts w:hint="eastAsia" w:ascii="宋体" w:hAnsi="宋体" w:eastAsia="仿宋_GB2312" w:cs="Times New Roman"/>
          <w:sz w:val="32"/>
          <w:szCs w:val="32"/>
          <w:highlight w:val="none"/>
        </w:rPr>
        <w:t>深化改革办工作经费</w:t>
      </w:r>
      <w:r>
        <w:rPr>
          <w:rFonts w:hint="eastAsia" w:ascii="宋体" w:hAnsi="宋体" w:eastAsia="仿宋_GB2312" w:cs="Times New Roman"/>
          <w:sz w:val="32"/>
          <w:szCs w:val="32"/>
          <w:highlight w:val="none"/>
          <w:lang w:eastAsia="zh-CN"/>
        </w:rPr>
        <w:t>、党史研究室经费等项目支出。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highlight w:val="none"/>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600.12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仿宋" w:hAnsi="仿宋" w:eastAsia="仿宋" w:cs="仿宋"/>
          <w:spacing w:val="2"/>
          <w:sz w:val="32"/>
          <w:szCs w:val="32"/>
          <w:lang w:val="en-US" w:eastAsia="zh-CN"/>
        </w:rPr>
        <w:t>106.26</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减少</w:t>
      </w:r>
      <w:r>
        <w:rPr>
          <w:rFonts w:hint="eastAsia" w:ascii="宋体" w:hAnsi="宋体" w:eastAsia="仿宋_GB2312" w:cs="Times New Roman"/>
          <w:sz w:val="32"/>
          <w:szCs w:val="32"/>
          <w:highlight w:val="none"/>
        </w:rPr>
        <w:t>深化改革办工作经费</w:t>
      </w:r>
      <w:r>
        <w:rPr>
          <w:rFonts w:hint="eastAsia" w:ascii="宋体" w:hAnsi="宋体" w:eastAsia="仿宋_GB2312" w:cs="Times New Roman"/>
          <w:sz w:val="32"/>
          <w:szCs w:val="32"/>
          <w:highlight w:val="none"/>
          <w:lang w:eastAsia="zh-CN"/>
        </w:rPr>
        <w:t>、党史研究室经费等项目支出。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600.12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2013101行政运行支出440.57万元，占73.41%，2013102</w:t>
      </w:r>
      <w:r>
        <w:rPr>
          <w:rFonts w:hint="eastAsia" w:ascii="宋体" w:hAnsi="宋体" w:eastAsia="仿宋_GB2312" w:cs="Times New Roman"/>
          <w:sz w:val="32"/>
          <w:szCs w:val="32"/>
        </w:rPr>
        <w:t>一般行政管理事务</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lang w:val="en-US" w:eastAsia="zh-CN"/>
        </w:rPr>
        <w:t>10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1.67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2013103</w:t>
      </w:r>
      <w:r>
        <w:rPr>
          <w:rFonts w:hint="eastAsia" w:ascii="宋体" w:hAnsi="宋体" w:eastAsia="仿宋_GB2312" w:cs="Times New Roman"/>
          <w:sz w:val="32"/>
          <w:szCs w:val="32"/>
        </w:rPr>
        <w:t>机关服务支出</w:t>
      </w:r>
      <w:r>
        <w:rPr>
          <w:rFonts w:hint="eastAsia" w:ascii="宋体" w:hAnsi="宋体" w:eastAsia="仿宋_GB2312" w:cs="Times New Roman"/>
          <w:sz w:val="32"/>
          <w:szCs w:val="32"/>
          <w:lang w:val="en-US" w:eastAsia="zh-CN"/>
        </w:rPr>
        <w:t>138.01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w:t>
      </w:r>
      <w:r>
        <w:rPr>
          <w:rFonts w:hint="eastAsia" w:ascii="宋体" w:hAnsi="宋体" w:eastAsia="仿宋_GB2312" w:cs="Times New Roman"/>
          <w:sz w:val="32"/>
          <w:szCs w:val="32"/>
        </w:rPr>
        <w:t>其他支出</w:t>
      </w:r>
      <w:r>
        <w:rPr>
          <w:rFonts w:hint="eastAsia" w:ascii="宋体" w:hAnsi="宋体" w:eastAsia="仿宋_GB2312" w:cs="Times New Roman"/>
          <w:sz w:val="32"/>
          <w:szCs w:val="32"/>
          <w:lang w:val="en-US" w:eastAsia="zh-CN"/>
        </w:rPr>
        <w:t>11.54万元，占1.92%</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600.12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600.12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rPr>
        <w:t>368.2</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337.61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319.03</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18.58</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30.62</w:t>
      </w:r>
      <w:r>
        <w:rPr>
          <w:rFonts w:hint="eastAsia" w:ascii="宋体" w:hAnsi="宋体" w:eastAsia="仿宋_GB2312" w:cs="Times New Roman"/>
          <w:sz w:val="32"/>
          <w:szCs w:val="32"/>
        </w:rPr>
        <w:t>万元，主要包括商品和服务支出30.62万元和资本性支出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6.8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6.78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与同年预算相减少</w:t>
      </w:r>
      <w:r>
        <w:rPr>
          <w:rFonts w:hint="eastAsia" w:ascii="宋体" w:hAnsi="宋体" w:eastAsia="仿宋_GB2312" w:cs="Times New Roman"/>
          <w:sz w:val="32"/>
          <w:szCs w:val="32"/>
          <w:lang w:val="en-US" w:eastAsia="zh-CN"/>
        </w:rPr>
        <w:t>0.02万元，原因是</w:t>
      </w:r>
      <w:r>
        <w:rPr>
          <w:rFonts w:hint="eastAsia" w:ascii="宋体" w:hAnsi="宋体" w:eastAsia="仿宋_GB2312" w:cs="Times New Roman"/>
          <w:sz w:val="32"/>
          <w:szCs w:val="32"/>
          <w:lang w:eastAsia="zh-CN"/>
        </w:rPr>
        <w:t>压减一般性支出；</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1.16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公车运行维护费增加</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6.78</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1.16</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日常业务增多，公车使用率提高</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30.62</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减少</w:t>
      </w:r>
      <w:r>
        <w:rPr>
          <w:rFonts w:hint="eastAsia" w:ascii="宋体" w:hAnsi="宋体" w:eastAsia="仿宋_GB2312" w:cs="Times New Roman"/>
          <w:sz w:val="32"/>
          <w:szCs w:val="32"/>
          <w:lang w:val="en-US" w:eastAsia="zh-CN"/>
        </w:rPr>
        <w:t>147.74</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82.83</w:t>
      </w:r>
      <w:r>
        <w:rPr>
          <w:rFonts w:hint="eastAsia" w:ascii="宋体" w:hAnsi="宋体" w:eastAsia="仿宋_GB2312" w:cs="Times New Roman"/>
          <w:sz w:val="32"/>
          <w:szCs w:val="32"/>
        </w:rPr>
        <w:t>%</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val="en-US" w:eastAsia="zh-CN"/>
        </w:rPr>
        <w:t>统计口径不一致，2021年减少安可替代支出</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15.50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w:t>
      </w:r>
      <w:r>
        <w:rPr>
          <w:rFonts w:hint="eastAsia" w:ascii="宋体" w:hAnsi="宋体" w:eastAsia="仿宋_GB2312" w:cs="Times New Roman"/>
          <w:sz w:val="32"/>
          <w:szCs w:val="32"/>
          <w:lang w:val="en-US" w:eastAsia="zh-CN"/>
        </w:rPr>
        <w:t>.50</w:t>
      </w:r>
      <w:bookmarkStart w:id="22" w:name="_GoBack"/>
      <w:bookmarkEnd w:id="22"/>
      <w:r>
        <w:rPr>
          <w:rFonts w:hint="eastAsia" w:ascii="宋体" w:hAnsi="宋体" w:eastAsia="仿宋_GB2312" w:cs="Times New Roman"/>
          <w:sz w:val="32"/>
          <w:szCs w:val="32"/>
        </w:rPr>
        <w:t>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hint="eastAsia" w:ascii="仿宋_GB2312" w:hAnsi="仿宋_GB2312" w:eastAsia="仿宋_GB2312" w:cs="仿宋_GB2312"/>
          <w:color w:val="000000"/>
          <w:kern w:val="0"/>
          <w:sz w:val="31"/>
          <w:szCs w:val="31"/>
          <w:lang w:eastAsia="zh-CN"/>
        </w:rPr>
      </w:pPr>
      <w:r>
        <w:rPr>
          <w:rFonts w:hint="eastAsia" w:ascii="宋体" w:hAnsi="宋体" w:eastAsia="仿宋_GB2312" w:cs="Times New Roman"/>
          <w:sz w:val="32"/>
          <w:szCs w:val="32"/>
          <w:lang w:eastAsia="zh-CN"/>
        </w:rPr>
        <w:t>我单位无重点项目等绩效目标情况说明。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7B3957"/>
    <w:rsid w:val="00E4217F"/>
    <w:rsid w:val="0B7B16EA"/>
    <w:rsid w:val="0E115DFD"/>
    <w:rsid w:val="11D27EAE"/>
    <w:rsid w:val="13790C41"/>
    <w:rsid w:val="1E003882"/>
    <w:rsid w:val="1E0300B1"/>
    <w:rsid w:val="1FA837E9"/>
    <w:rsid w:val="20D97C1B"/>
    <w:rsid w:val="23553F43"/>
    <w:rsid w:val="299664C8"/>
    <w:rsid w:val="3DE01F60"/>
    <w:rsid w:val="3F28132A"/>
    <w:rsid w:val="49221B6F"/>
    <w:rsid w:val="6544153D"/>
    <w:rsid w:val="660E0467"/>
    <w:rsid w:val="68CD37BD"/>
    <w:rsid w:val="6C940C35"/>
    <w:rsid w:val="722C37F0"/>
    <w:rsid w:val="754544A5"/>
    <w:rsid w:val="75A37EB5"/>
    <w:rsid w:val="7CBB65CE"/>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6</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2022-09-20T09:51:16Z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