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朔州市朔城区档案馆</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贯彻执行党和国家关于档案工作的方针政策、法律法规和区委、区政府决策部署。</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负责接收、征集、保管区委、区政府及区直机关企事业单位等按规定应当进馆的档案资料。收集征集散失在全区内外的有查考保存价值的档案资料。</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集中统一管理区委、区政府及区直机关企事业单位档案资料，保守党和国家秘密，维护档案完整，确保档案资料的实体和信息安全。</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提供档案资料查阅复制等利用服务。</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组织开展档案信息开发，挖掘档案资源，开展馆藏档案的编研工作，制作各类档案专题展览，提供档案文化产品。</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组织开展各类档案保护、管理技术及档案标准化等研究。</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组织开展数字档案馆建设，提升档案信息化水平。</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承办区委、区政府交办的其他任务。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576" w:firstLineChars="200"/>
        <w:jc w:val="left"/>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lang w:val="en-US" w:eastAsia="zh-CN"/>
        </w:rPr>
        <w:t>管理股，</w:t>
      </w:r>
      <w:r>
        <w:rPr>
          <w:rFonts w:hint="eastAsia" w:ascii="仿宋" w:hAnsi="仿宋" w:eastAsia="仿宋" w:cs="仿宋"/>
          <w:spacing w:val="-16"/>
          <w:sz w:val="32"/>
          <w:szCs w:val="32"/>
          <w:lang w:eastAsia="zh-CN"/>
        </w:rPr>
        <w:t>负责局内党务、政务日常工作；干部职工人事、文秘、信访接待、宣传、离退休人员工作；</w:t>
      </w:r>
    </w:p>
    <w:p>
      <w:pPr>
        <w:spacing w:line="204" w:lineRule="auto"/>
        <w:ind w:firstLine="576" w:firstLineChars="200"/>
        <w:jc w:val="left"/>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lang w:val="en-US" w:eastAsia="zh-CN"/>
        </w:rPr>
        <w:t>信息股，</w:t>
      </w:r>
      <w:r>
        <w:rPr>
          <w:rFonts w:hint="eastAsia" w:ascii="仿宋" w:hAnsi="仿宋" w:eastAsia="仿宋" w:cs="仿宋"/>
          <w:spacing w:val="-16"/>
          <w:sz w:val="32"/>
          <w:szCs w:val="32"/>
          <w:lang w:eastAsia="zh-CN"/>
        </w:rPr>
        <w:t>职能是负责编制全宗管理名册并组织实施；区委各部委办局、区直机关、事业单位、人民团体、乡镇街道等应进局各类载体档案资料的接收工作，并按业务规范严把进口质量关；征集散存在民间、个人及区内外有价值的档案资料；档案的寄存和局藏档案控制利用、划控、鉴定工作。信息管理股，职能是负责数字档案局工作；数字档案管理系统以及局域网、公众网档案服务平台建设与维护工作；信息化存储设备的管理、档案信息管理系统硬件设施和软件系统的维护和信息安全；参与开放档案网络共享平台建设；收进局电子档案的审核、验收、质检、载体迁移；区局电子档案备份和电子档案目录建设工作。</w:t>
      </w:r>
    </w:p>
    <w:p>
      <w:pPr>
        <w:spacing w:line="204" w:lineRule="auto"/>
        <w:ind w:firstLine="576" w:firstLineChars="200"/>
        <w:jc w:val="left"/>
        <w:rPr>
          <w:rFonts w:hint="eastAsia" w:ascii="仿宋" w:hAnsi="仿宋" w:eastAsia="仿宋" w:cs="仿宋"/>
          <w:spacing w:val="-16"/>
          <w:sz w:val="32"/>
          <w:szCs w:val="32"/>
          <w:highlight w:val="none"/>
          <w:lang w:val="en-US" w:eastAsia="zh-CN"/>
        </w:rPr>
      </w:pPr>
      <w:r>
        <w:rPr>
          <w:rFonts w:hint="eastAsia" w:ascii="仿宋" w:hAnsi="仿宋" w:eastAsia="仿宋" w:cs="仿宋"/>
          <w:spacing w:val="-16"/>
          <w:sz w:val="32"/>
          <w:szCs w:val="32"/>
          <w:lang w:val="en-US" w:eastAsia="zh-CN"/>
        </w:rPr>
        <w:t>秘书股，</w:t>
      </w:r>
      <w:r>
        <w:rPr>
          <w:rFonts w:hint="eastAsia" w:ascii="仿宋" w:hAnsi="仿宋" w:eastAsia="仿宋" w:cs="仿宋"/>
          <w:spacing w:val="-16"/>
          <w:sz w:val="32"/>
          <w:szCs w:val="32"/>
          <w:lang w:eastAsia="zh-CN"/>
        </w:rPr>
        <w:t>职能是负责局藏档案和进局档案消毒灭菌、破损档案资料的修复、各类有害生物的防治，确保档案实体安全；档案局库温湿度监测及记录、局藏档案资料数量变动情况的登记管理、拟销毁档案的审查报批工作；局藏档案资料的提供利用、咨询服务并编制各类检索工具；区局爱国主义教育基地建设维护并积极开展社会宣传教育活动。</w:t>
      </w:r>
      <w:bookmarkStart w:id="20" w:name="_GoBack"/>
    </w:p>
    <w:p>
      <w:pPr>
        <w:spacing w:line="204" w:lineRule="auto"/>
        <w:ind w:firstLine="576" w:firstLineChars="200"/>
        <w:jc w:val="left"/>
        <w:rPr>
          <w:rFonts w:hint="eastAsia" w:ascii="仿宋" w:hAnsi="仿宋" w:eastAsia="仿宋" w:cs="仿宋"/>
          <w:spacing w:val="-16"/>
          <w:sz w:val="32"/>
          <w:szCs w:val="32"/>
          <w:highlight w:val="none"/>
        </w:rPr>
      </w:pPr>
      <w:r>
        <w:rPr>
          <w:rFonts w:hint="eastAsia" w:ascii="仿宋" w:hAnsi="仿宋" w:eastAsia="仿宋" w:cs="仿宋"/>
          <w:spacing w:val="-16"/>
          <w:sz w:val="32"/>
          <w:szCs w:val="32"/>
          <w:highlight w:val="none"/>
        </w:rPr>
        <w:t>从预算单位构成看，</w:t>
      </w:r>
      <w:r>
        <w:rPr>
          <w:rFonts w:hint="eastAsia" w:ascii="仿宋" w:hAnsi="仿宋" w:eastAsia="仿宋" w:cs="仿宋"/>
          <w:spacing w:val="-16"/>
          <w:sz w:val="32"/>
          <w:szCs w:val="32"/>
          <w:highlight w:val="none"/>
          <w:lang w:val="en-US" w:eastAsia="zh-CN"/>
        </w:rPr>
        <w:t>朔州市朔城区档案馆</w:t>
      </w:r>
      <w:r>
        <w:rPr>
          <w:rFonts w:hint="eastAsia" w:ascii="仿宋" w:hAnsi="仿宋" w:eastAsia="仿宋" w:cs="仿宋"/>
          <w:spacing w:val="2"/>
          <w:sz w:val="32"/>
          <w:szCs w:val="32"/>
          <w:highlight w:val="none"/>
        </w:rPr>
        <w:t>直属</w:t>
      </w:r>
      <w:r>
        <w:rPr>
          <w:rFonts w:hint="eastAsia" w:ascii="仿宋" w:hAnsi="仿宋" w:eastAsia="仿宋" w:cs="仿宋"/>
          <w:spacing w:val="2"/>
          <w:sz w:val="32"/>
          <w:szCs w:val="32"/>
          <w:highlight w:val="none"/>
          <w:lang w:val="en-US" w:eastAsia="zh-CN"/>
        </w:rPr>
        <w:t>中共朔州市朔城区委员会办公室</w:t>
      </w:r>
      <w:r>
        <w:rPr>
          <w:rFonts w:hint="eastAsia" w:ascii="仿宋" w:hAnsi="仿宋" w:eastAsia="仿宋" w:cs="仿宋"/>
          <w:spacing w:val="2"/>
          <w:sz w:val="32"/>
          <w:szCs w:val="32"/>
          <w:highlight w:val="none"/>
        </w:rPr>
        <w:t>，是二级预算单位，无下属单位。</w:t>
      </w:r>
      <w:r>
        <w:rPr>
          <w:rFonts w:hint="eastAsia" w:ascii="仿宋" w:hAnsi="仿宋" w:eastAsia="仿宋" w:cs="仿宋"/>
          <w:sz w:val="32"/>
          <w:szCs w:val="32"/>
          <w:highlight w:val="none"/>
        </w:rPr>
        <w:t>部门决算</w:t>
      </w:r>
      <w:r>
        <w:rPr>
          <w:rFonts w:hint="eastAsia" w:ascii="仿宋" w:hAnsi="仿宋" w:eastAsia="仿宋" w:cs="仿宋"/>
          <w:sz w:val="32"/>
          <w:szCs w:val="32"/>
          <w:highlight w:val="none"/>
          <w:lang w:val="en-US" w:eastAsia="zh-CN"/>
        </w:rPr>
        <w:t>只</w:t>
      </w:r>
      <w:r>
        <w:rPr>
          <w:rFonts w:hint="eastAsia" w:ascii="仿宋" w:hAnsi="仿宋" w:eastAsia="仿宋" w:cs="仿宋"/>
          <w:sz w:val="32"/>
          <w:szCs w:val="32"/>
          <w:highlight w:val="none"/>
        </w:rPr>
        <w:t>包括：本级决算。</w:t>
      </w:r>
    </w:p>
    <w:bookmarkEnd w:id="20"/>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40" w:firstLineChars="200"/>
        <w:jc w:val="left"/>
        <w:rPr>
          <w:rFonts w:hint="eastAsia" w:ascii="仿宋" w:hAnsi="仿宋" w:eastAsia="仿宋" w:cs="仿宋"/>
          <w:spacing w:val="-16"/>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154.79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154.79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8.54</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8.54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有退休人员两名，</w:t>
      </w:r>
      <w:r>
        <w:rPr>
          <w:rFonts w:hint="eastAsia" w:ascii="仿宋" w:hAnsi="仿宋" w:eastAsia="仿宋" w:cs="仿宋"/>
          <w:spacing w:val="-16"/>
          <w:sz w:val="32"/>
          <w:szCs w:val="32"/>
          <w:lang w:val="en-US" w:eastAsia="zh-CN"/>
        </w:rPr>
        <w:t>移交养老所，工资不在本单位发放。</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154.79</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154.79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154.79</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143.28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11.51</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40" w:firstLineChars="200"/>
        <w:jc w:val="left"/>
        <w:rPr>
          <w:rFonts w:hint="eastAsia" w:ascii="仿宋" w:hAnsi="仿宋" w:eastAsia="仿宋" w:cs="仿宋"/>
          <w:spacing w:val="-16"/>
          <w:sz w:val="32"/>
          <w:szCs w:val="32"/>
          <w:lang w:val="en-US"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154.79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154.79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8.54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5.23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有退休人员两名，</w:t>
      </w:r>
      <w:r>
        <w:rPr>
          <w:rFonts w:hint="eastAsia" w:ascii="仿宋" w:hAnsi="仿宋" w:eastAsia="仿宋" w:cs="仿宋"/>
          <w:spacing w:val="-16"/>
          <w:sz w:val="32"/>
          <w:szCs w:val="32"/>
          <w:lang w:val="en-US" w:eastAsia="zh-CN"/>
        </w:rPr>
        <w:t>移交养老所，工资不在本单位发放。</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40" w:firstLineChars="200"/>
        <w:jc w:val="left"/>
        <w:rPr>
          <w:rFonts w:hint="eastAsia" w:ascii="仿宋" w:hAnsi="仿宋" w:eastAsia="仿宋" w:cs="仿宋"/>
          <w:spacing w:val="-16"/>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154.79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34"/>
          <w:sz w:val="32"/>
          <w:szCs w:val="32"/>
          <w:lang w:val="en-US" w:eastAsia="zh-CN"/>
        </w:rPr>
        <w:t>8.54</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有退休人员两名，</w:t>
      </w:r>
      <w:r>
        <w:rPr>
          <w:rFonts w:hint="eastAsia" w:ascii="仿宋" w:hAnsi="仿宋" w:eastAsia="仿宋" w:cs="仿宋"/>
          <w:spacing w:val="-16"/>
          <w:sz w:val="32"/>
          <w:szCs w:val="32"/>
          <w:lang w:val="en-US" w:eastAsia="zh-CN"/>
        </w:rPr>
        <w:t>移交养老所，工资不在本单位发放。</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154.79</w:t>
      </w:r>
      <w:r>
        <w:rPr>
          <w:rFonts w:hint="eastAsia" w:ascii="宋体" w:hAnsi="宋体" w:eastAsia="仿宋_GB2312" w:cs="Times New Roman"/>
          <w:sz w:val="32"/>
          <w:szCs w:val="32"/>
        </w:rPr>
        <w:t>万元，主要用于以下方面：2012601</w:t>
      </w:r>
      <w:r>
        <w:rPr>
          <w:rFonts w:hint="eastAsia" w:ascii="宋体" w:hAnsi="宋体" w:eastAsia="仿宋_GB2312" w:cs="Times New Roman"/>
          <w:sz w:val="32"/>
          <w:szCs w:val="32"/>
          <w:lang w:val="en-US" w:eastAsia="zh-CN"/>
        </w:rPr>
        <w:t>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54.68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35.33</w:t>
      </w:r>
      <w:r>
        <w:rPr>
          <w:rFonts w:hint="eastAsia" w:ascii="宋体" w:hAnsi="宋体" w:eastAsia="仿宋_GB2312" w:cs="Times New Roman"/>
          <w:sz w:val="32"/>
          <w:szCs w:val="32"/>
        </w:rPr>
        <w:t>%；2012603</w:t>
      </w:r>
      <w:r>
        <w:rPr>
          <w:rFonts w:hint="eastAsia" w:ascii="宋体" w:hAnsi="宋体" w:eastAsia="仿宋_GB2312" w:cs="Times New Roman"/>
          <w:sz w:val="32"/>
          <w:szCs w:val="32"/>
          <w:lang w:val="en-US" w:eastAsia="zh-CN"/>
        </w:rPr>
        <w:t>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88.59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57.23</w:t>
      </w:r>
      <w:r>
        <w:rPr>
          <w:rFonts w:hint="eastAsia" w:ascii="宋体" w:hAnsi="宋体" w:eastAsia="仿宋_GB2312" w:cs="Times New Roman"/>
          <w:sz w:val="32"/>
          <w:szCs w:val="32"/>
        </w:rPr>
        <w:t>%；2012604</w:t>
      </w:r>
      <w:r>
        <w:rPr>
          <w:rFonts w:hint="eastAsia" w:ascii="宋体" w:hAnsi="宋体" w:eastAsia="仿宋_GB2312" w:cs="Times New Roman"/>
          <w:sz w:val="32"/>
          <w:szCs w:val="32"/>
          <w:lang w:val="en-US" w:eastAsia="zh-CN"/>
        </w:rPr>
        <w:t>档案馆</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11.51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7.44</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154.79</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154.79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143.28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139.52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123.55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15.96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3.76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3.76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hint="eastAsia" w:ascii="楷体" w:hAnsi="楷体" w:eastAsia="楷体" w:cs="楷体"/>
          <w:spacing w:val="-3"/>
          <w:sz w:val="32"/>
          <w:szCs w:val="32"/>
        </w:rPr>
      </w:pPr>
      <w:r>
        <w:rPr>
          <w:rFonts w:hint="eastAsia" w:ascii="楷体" w:hAnsi="楷体" w:eastAsia="楷体" w:cs="楷体"/>
          <w:spacing w:val="-3"/>
          <w:sz w:val="32"/>
          <w:szCs w:val="32"/>
        </w:rPr>
        <w:t>一般公共预算财政拨款“三公”经费支出决算情况说明</w:t>
      </w:r>
      <w:bookmarkEnd w:id="16"/>
      <w:bookmarkEnd w:id="17"/>
    </w:p>
    <w:p>
      <w:pPr>
        <w:pStyle w:val="2"/>
        <w:numPr>
          <w:ilvl w:val="0"/>
          <w:numId w:val="0"/>
        </w:numPr>
        <w:rPr>
          <w:rFonts w:hint="default" w:eastAsiaTheme="minorEastAsia"/>
          <w:lang w:val="en-US" w:eastAsia="zh-CN"/>
        </w:rPr>
      </w:pPr>
      <w:r>
        <w:rPr>
          <w:rFonts w:hint="eastAsia"/>
          <w:lang w:val="en-US" w:eastAsia="zh-CN"/>
        </w:rPr>
        <w:t xml:space="preserve">     </w:t>
      </w:r>
      <w:r>
        <w:rPr>
          <w:rFonts w:hint="eastAsia" w:ascii="仿宋" w:hAnsi="仿宋" w:eastAsia="仿宋" w:cs="仿宋"/>
          <w:spacing w:val="4"/>
          <w:kern w:val="2"/>
          <w:sz w:val="32"/>
          <w:szCs w:val="32"/>
          <w:lang w:val="en-US" w:eastAsia="zh-CN" w:bidi="ar-SA"/>
        </w:rPr>
        <w:t>本单位无三公经费</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我单位为事业单位</w:t>
      </w:r>
      <w:r>
        <w:rPr>
          <w:rFonts w:hint="eastAsia" w:ascii="宋体" w:hAnsi="宋体" w:eastAsia="仿宋_GB2312" w:cs="Times New Roman"/>
          <w:sz w:val="32"/>
          <w:szCs w:val="32"/>
        </w:rPr>
        <w:t>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仿宋_GB2312" w:hAnsi="仿宋_GB2312" w:eastAsia="仿宋_GB2312" w:cs="仿宋_GB2312"/>
          <w:color w:val="000000"/>
          <w:kern w:val="0"/>
          <w:sz w:val="31"/>
          <w:szCs w:val="31"/>
        </w:rPr>
        <w:t>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8" w:name="_Toc32537"/>
      <w:bookmarkStart w:id="19"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221CC05C"/>
    <w:multiLevelType w:val="singleLevel"/>
    <w:tmpl w:val="221CC05C"/>
    <w:lvl w:ilvl="0" w:tentative="0">
      <w:start w:val="7"/>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MWEzNTExZjEwZjk0ODk1ZTY1OWM2ZmNiOWM5MmIifQ=="/>
  </w:docVars>
  <w:rsids>
    <w:rsidRoot w:val="7E3F0B7D"/>
    <w:rsid w:val="000014A7"/>
    <w:rsid w:val="00052B5B"/>
    <w:rsid w:val="00774AFB"/>
    <w:rsid w:val="00E4217F"/>
    <w:rsid w:val="0DC15780"/>
    <w:rsid w:val="0E115DFD"/>
    <w:rsid w:val="11D27EAE"/>
    <w:rsid w:val="20D97C1B"/>
    <w:rsid w:val="23553F43"/>
    <w:rsid w:val="299664C8"/>
    <w:rsid w:val="3F28132A"/>
    <w:rsid w:val="49221B6F"/>
    <w:rsid w:val="6544153D"/>
    <w:rsid w:val="68CD37BD"/>
    <w:rsid w:val="6C940C35"/>
    <w:rsid w:val="6DDD230D"/>
    <w:rsid w:val="7C3E625F"/>
    <w:rsid w:val="7C74392B"/>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2902</Words>
  <Characters>3106</Characters>
  <Lines>5</Lines>
  <Paragraphs>7</Paragraphs>
  <TotalTime>37</TotalTime>
  <ScaleCrop>false</ScaleCrop>
  <LinksUpToDate>false</LinksUpToDate>
  <CharactersWithSpaces>3170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2022-09-13T11:19:14Z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FC28673F25D541F785DF41B4C0E301E6</vt:lpwstr>
  </property>
</Properties>
</file>