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朔州市朔城区人民政府办公室</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_GB2312" w:eastAsia="仿宋_GB2312"/>
          <w:sz w:val="32"/>
          <w:szCs w:val="32"/>
        </w:rPr>
      </w:pPr>
      <w:bookmarkStart w:id="2" w:name="_Toc7430_WPSOffice_Level1"/>
      <w:r>
        <w:rPr>
          <w:rFonts w:hint="eastAsia" w:ascii="仿宋" w:hAnsi="仿宋" w:eastAsia="仿宋" w:cs="仿宋"/>
          <w:sz w:val="32"/>
          <w:szCs w:val="32"/>
        </w:rPr>
        <w:t>主要职能职责</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1.负责区政府会议的准备工作，协助区政府领导同志组织实施会议事项。</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2.协助区政府领导同志起草或审核以区政府、区政府办公室名义发布的公文。办理中央、国务院及各部、委，省委、省政府及各部、委、厅、局，市委、市政府及市直各单位，各县、区发送区政府的公文。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3.研究各乡镇人民政府、街道办事处和区政府各部门请示区政府的问题，提出审核意见，报区政府领导同志审批。</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4.根据区政府领导同志的指示，对政府部门间有争议的事项提出处理意见，报区政府领导同志决定。</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5.督促检查区政府公文、会议决定事项及区政府领导同志有关指示的执行落实情况，及时向区政府领导同志报告。</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rPr>
      </w:pPr>
      <w:r>
        <w:rPr>
          <w:rFonts w:hint="eastAsia" w:ascii="仿宋_GB2312" w:eastAsia="仿宋_GB2312"/>
          <w:sz w:val="32"/>
          <w:szCs w:val="32"/>
        </w:rPr>
        <w:t>6.对全区经济和社会发展的重大问题及区政府各项决策、决定，组织专题调查研究，及时反映情况，提出建议。</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eastAsia="zh-CN"/>
        </w:rPr>
        <w:t>二、</w:t>
      </w:r>
      <w:r>
        <w:rPr>
          <w:rFonts w:hint="eastAsia" w:ascii="仿宋" w:hAnsi="仿宋" w:eastAsia="仿宋" w:cs="仿宋"/>
          <w:b w:val="0"/>
          <w:bCs/>
          <w:color w:val="auto"/>
          <w:sz w:val="30"/>
          <w:szCs w:val="30"/>
          <w:highlight w:val="none"/>
        </w:rPr>
        <w:t>机构设置</w:t>
      </w:r>
      <w:r>
        <w:rPr>
          <w:rFonts w:hint="eastAsia" w:ascii="仿宋" w:hAnsi="仿宋" w:eastAsia="仿宋" w:cs="仿宋"/>
          <w:b w:val="0"/>
          <w:bCs/>
          <w:color w:val="auto"/>
          <w:sz w:val="30"/>
          <w:szCs w:val="30"/>
          <w:highlight w:val="none"/>
          <w:lang w:eastAsia="zh-CN"/>
        </w:rPr>
        <w:t>情况</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朔州市朔城区人民政府办公室是朔州市朔城区人民政府主管的行政单位，正科级建制，下设事业单位2个，编制47人（其中区政府领导8名单列编制，行政编制17人，事业编制22人，实有人数36人。年末在职人员36人）</w:t>
      </w:r>
      <w:r>
        <w:rPr>
          <w:rFonts w:hint="eastAsia" w:ascii="仿宋_GB2312" w:eastAsia="仿宋_GB2312"/>
          <w:bCs/>
          <w:sz w:val="32"/>
          <w:szCs w:val="32"/>
        </w:rPr>
        <w:t>我单位设置10个股室，分别是秘书股、综合股、会议礼宾股、信息公开股、民生事务股、经济管理股、外事办公室、台港澳事务办公室、机要保密室、督查室。</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秘书股职能：负责区政府的日常政务值班、节假日值班;协助区政府处置突发事件与重大问题，并做好各督促检查种特接工作;负责把政府全体会议、常务会议、党组会议、区长办公会议的议题收集、内容记录;负责区政府、区政府办公室文件的接收、传递、登记、制作、送审、印发、立卷归档工作;分流传递各乡镇、街道办事处和区直各部门向区政府的请示、报告及其他文件，落实催办有关事项;负责区政府、区政府办公室印鉴的管理以及区政府各部门印章刻制、启用、销毁;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综合股职能：围绕政府重要工作，组织开展调查研究，向区政府提出决策建议;及时掌握并编写经济、社会发展综合情况，为领导决策提供依据;负责起草区政府工作报告、领导重要讲话及其它综合性材料;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会议礼宾股职能：承办区政府、区政府办公室以及以区政府名义召开的各类会议的会务工作;组织安排区政府各项集体活动;负责区政府的政务接待和服务工作;承办领导同志交办的其他事项。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信息公开股职能：负责收集、反馈、处理全区内外政务信息;负责向市政府报送重要信息;负责与兄弟县(市、区)等有关方面进行信息交流;资责征集建议和意见，及时提供宜公开的政务信息;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民生事务股：就重大民生事项向区政府提出意见建议，督促检查落实区政府重大民生事项;处理人民群众来信来访中的重大民生问题;办理人大代表、政协委员的建议、议案、提案;承办领导同志交办的其他事项。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经济管理股：搞好经济方面的宏观管理和经济运行宏观监测方面的有关事宜;协调工业、农业、财贸、城建、交通等方面的工作;承办领导同志交办的其他事项。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外事办公室职能：承担区委外事工作委员会的具体工作，在战略谋划、政策研究、统筹协调、外事管理、检查督办等方面为区委外事工作委员会提供服务;承办领导同志交办的其他事项。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台港澳事务办公室职能：贯彻执行党中央、国务院对台港澳方针政策及省市、区对台港澳工作部署，组织、指导、管理、协调我区台港澳有关工作;承办领导同志交办的其他事项。</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机要保密室职能：负责办理中央、国务院及各部委、省委、省政府及各省直部门，市委、市政府级市直各单位机要文件的接受、登记、传阅、分发、借阅、清退归档和销毁工作;负责机要通信和机要文件交换机收发管理工作;承办领导同志交办的其他事项。</w:t>
      </w:r>
    </w:p>
    <w:p>
      <w:pPr>
        <w:pStyle w:val="2"/>
        <w:rPr>
          <w:rFonts w:ascii="仿宋" w:hAnsi="仿宋" w:eastAsia="仿宋" w:cs="仿宋"/>
          <w:sz w:val="32"/>
          <w:szCs w:val="32"/>
        </w:rPr>
      </w:pPr>
      <w:r>
        <w:rPr>
          <w:rFonts w:hint="eastAsia" w:ascii="仿宋_GB2312" w:eastAsia="仿宋_GB2312"/>
          <w:bCs/>
          <w:sz w:val="32"/>
          <w:szCs w:val="32"/>
        </w:rPr>
        <w:t>督查室职能：负责对区政府各项决策、会议议定事项、领导重要批示、区政府领导现场办公议定事项的落实情况进行督促、检查;负责市政府和区政府“13710”工作制度的综合协调、督办落实;承办领导同志交办的其他事项。</w:t>
      </w:r>
      <w:r>
        <w:rPr>
          <w:rFonts w:hint="eastAsia" w:ascii="仿宋" w:hAnsi="仿宋" w:eastAsia="仿宋" w:cs="仿宋"/>
          <w:sz w:val="32"/>
          <w:szCs w:val="32"/>
        </w:rPr>
        <w:t xml:space="preserve">                         </w:t>
      </w:r>
    </w:p>
    <w:p>
      <w:pPr>
        <w:numPr>
          <w:ilvl w:val="0"/>
          <w:numId w:val="0"/>
        </w:num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朔州市朔城区人民政府办公室</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highlight w:val="none"/>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642.39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642.39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12.81</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12.81</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增加目标责任考核奖支出</w:t>
      </w:r>
      <w:r>
        <w:rPr>
          <w:rFonts w:hint="eastAsia" w:ascii="宋体" w:hAnsi="宋体" w:eastAsia="仿宋_GB2312" w:cs="Times New Roman"/>
          <w:sz w:val="32"/>
          <w:szCs w:val="32"/>
          <w:highlight w:val="none"/>
          <w:lang w:val="en-US" w:eastAsia="zh-CN"/>
        </w:rPr>
        <w:t>16.44万元。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w:t>
      </w:r>
      <w:r>
        <w:rPr>
          <w:rFonts w:hint="eastAsia" w:ascii="宋体" w:hAnsi="宋体" w:eastAsia="仿宋_GB2312" w:cs="Times New Roman"/>
          <w:sz w:val="32"/>
          <w:szCs w:val="32"/>
          <w:lang w:eastAsia="zh-CN"/>
        </w:rPr>
        <w:t>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410.83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231.56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642.39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12.87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2.04</w:t>
      </w:r>
      <w:r>
        <w:rPr>
          <w:rFonts w:hint="eastAsia" w:ascii="宋体" w:hAnsi="宋体" w:eastAsia="仿宋_GB2312" w:cs="Times New Roman"/>
          <w:sz w:val="32"/>
          <w:szCs w:val="32"/>
        </w:rPr>
        <w:t>%。</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增加目标责任考核奖支出</w:t>
      </w:r>
      <w:r>
        <w:rPr>
          <w:rFonts w:hint="eastAsia" w:ascii="宋体" w:hAnsi="宋体" w:eastAsia="仿宋_GB2312" w:cs="Times New Roman"/>
          <w:sz w:val="32"/>
          <w:szCs w:val="32"/>
          <w:highlight w:val="none"/>
          <w:lang w:val="en-US" w:eastAsia="zh-CN"/>
        </w:rPr>
        <w:t>16.44万元。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highlight w:val="red"/>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12.87</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增加目标责任考核奖支出</w:t>
      </w:r>
      <w:r>
        <w:rPr>
          <w:rFonts w:hint="eastAsia" w:ascii="宋体" w:hAnsi="宋体" w:eastAsia="仿宋_GB2312" w:cs="Times New Roman"/>
          <w:sz w:val="32"/>
          <w:szCs w:val="32"/>
          <w:highlight w:val="none"/>
          <w:lang w:val="en-US" w:eastAsia="zh-CN"/>
        </w:rPr>
        <w:t>16.44万元。</w:t>
      </w:r>
      <w:bookmarkStart w:id="22" w:name="_GoBack"/>
      <w:bookmarkEnd w:id="22"/>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机关服务</w:t>
      </w:r>
      <w:r>
        <w:rPr>
          <w:rFonts w:hint="eastAsia" w:ascii="宋体" w:hAnsi="宋体" w:eastAsia="仿宋_GB2312" w:cs="Times New Roman"/>
          <w:sz w:val="32"/>
          <w:szCs w:val="32"/>
          <w:lang w:val="en-US" w:eastAsia="zh-CN"/>
        </w:rPr>
        <w:t>28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4.36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577.96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89.97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3.11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其他支出</w:t>
      </w:r>
      <w:r>
        <w:rPr>
          <w:rFonts w:hint="eastAsia" w:ascii="宋体" w:hAnsi="宋体" w:eastAsia="仿宋_GB2312" w:cs="Times New Roman"/>
          <w:sz w:val="32"/>
          <w:szCs w:val="32"/>
          <w:lang w:val="en-US" w:eastAsia="zh-CN"/>
        </w:rPr>
        <w:t>16.44万元，占2.56%</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642.39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642.39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410.83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362.24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346.35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15.88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48.59</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48.59</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19.50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7.35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12.15万元，原因是</w:t>
      </w:r>
      <w:r>
        <w:rPr>
          <w:rFonts w:hint="eastAsia" w:ascii="宋体" w:hAnsi="宋体" w:eastAsia="仿宋_GB2312" w:cs="Times New Roman"/>
          <w:sz w:val="32"/>
          <w:szCs w:val="32"/>
          <w:lang w:eastAsia="zh-CN"/>
        </w:rPr>
        <w:t>疫情期间，因公出国出境取消；因业务量减少使用公车次数减少；</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3.46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，原因是单位公车年久老化需进行维修保养</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7.35</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3.46</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单位公车年久老化需进行维修保养</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48.59</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84.39</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63.46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机构改革，朔州市朔城区人民防空办公室和朔城区招待所划出本单位。</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19</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eastAsia="zh-CN"/>
        </w:rPr>
        <w:t>我单位</w:t>
      </w:r>
      <w:r>
        <w:rPr>
          <w:rFonts w:hint="eastAsia" w:ascii="仿宋_GB2312" w:hAnsi="仿宋_GB2312" w:eastAsia="仿宋_GB2312" w:cs="仿宋_GB2312"/>
          <w:color w:val="000000"/>
          <w:kern w:val="0"/>
          <w:sz w:val="31"/>
          <w:szCs w:val="31"/>
          <w:lang w:val="en-US" w:eastAsia="zh-CN"/>
        </w:rPr>
        <w:t>2021年未开展绩效评价。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19D16529"/>
    <w:rsid w:val="20D97C1B"/>
    <w:rsid w:val="232B0A60"/>
    <w:rsid w:val="23553F43"/>
    <w:rsid w:val="299664C8"/>
    <w:rsid w:val="3F28132A"/>
    <w:rsid w:val="49221B6F"/>
    <w:rsid w:val="52B96C89"/>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0</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2022-09-05T11:13:30Z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