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中国共产党朔州市朔城区委员会老干部局</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hd w:val="clear" w:color="auto" w:fill="FFFFFF"/>
        <w:ind w:firstLine="420" w:firstLineChars="200"/>
        <w:rPr>
          <w:rFonts w:hint="eastAsia" w:ascii="仿宋_GB2312" w:eastAsia="仿宋_GB2312"/>
          <w:kern w:val="0"/>
          <w:sz w:val="32"/>
          <w:szCs w:val="32"/>
        </w:rPr>
      </w:pPr>
      <w:r>
        <w:rPr>
          <w:rFonts w:hint="eastAsia"/>
          <w:lang w:val="en-US" w:eastAsia="zh-CN"/>
        </w:rPr>
        <w:t xml:space="preserve"> </w:t>
      </w:r>
      <w:r>
        <w:rPr>
          <w:rFonts w:hint="eastAsia" w:ascii="仿宋_GB2312" w:eastAsia="仿宋_GB2312"/>
          <w:kern w:val="0"/>
          <w:sz w:val="32"/>
          <w:szCs w:val="32"/>
        </w:rPr>
        <w:t>中共朔州市朔城区委老干部局成立于1989年1月，是区委</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区政府服务</w:t>
      </w:r>
      <w:r>
        <w:rPr>
          <w:rFonts w:hint="eastAsia" w:ascii="仿宋_GB2312" w:eastAsia="仿宋_GB2312"/>
          <w:kern w:val="0"/>
          <w:sz w:val="32"/>
          <w:szCs w:val="32"/>
        </w:rPr>
        <w:t>管理全区离退休干部的职能部门。内设办公室、老干部活动中心、财务室，现有事业人员6人。</w:t>
      </w:r>
    </w:p>
    <w:p>
      <w:pPr>
        <w:ind w:firstLine="640" w:firstLineChars="200"/>
        <w:rPr>
          <w:rFonts w:hint="eastAsia" w:ascii="黑体" w:hAnsi="黑体" w:eastAsia="黑体"/>
          <w:sz w:val="32"/>
          <w:szCs w:val="32"/>
        </w:rPr>
      </w:pPr>
      <w:r>
        <w:rPr>
          <w:rFonts w:hint="eastAsia" w:ascii="黑体" w:hAnsi="黑体" w:eastAsia="黑体"/>
          <w:sz w:val="32"/>
          <w:szCs w:val="32"/>
        </w:rPr>
        <w:t>其主要职责和任务是：</w:t>
      </w:r>
    </w:p>
    <w:p>
      <w:pPr>
        <w:ind w:firstLine="640" w:firstLineChars="200"/>
        <w:rPr>
          <w:rFonts w:hint="eastAsia" w:ascii="仿宋_GB2312" w:eastAsia="仿宋_GB2312"/>
          <w:sz w:val="32"/>
          <w:szCs w:val="32"/>
        </w:rPr>
      </w:pPr>
      <w:r>
        <w:rPr>
          <w:rFonts w:hint="eastAsia" w:ascii="仿宋_GB2312" w:eastAsia="仿宋_GB2312"/>
          <w:sz w:val="32"/>
          <w:szCs w:val="32"/>
        </w:rPr>
        <w:t>（1）贯彻落实党和国家关于离退休干部的路线、方针、政策，负责全区离退休干部工作；</w:t>
      </w:r>
    </w:p>
    <w:p>
      <w:pPr>
        <w:ind w:firstLine="640" w:firstLineChars="200"/>
        <w:rPr>
          <w:rFonts w:hint="eastAsia" w:ascii="仿宋_GB2312" w:eastAsia="仿宋_GB2312"/>
          <w:sz w:val="32"/>
          <w:szCs w:val="32"/>
        </w:rPr>
      </w:pPr>
      <w:r>
        <w:rPr>
          <w:rFonts w:hint="eastAsia" w:ascii="仿宋_GB2312" w:eastAsia="仿宋_GB2312"/>
          <w:sz w:val="32"/>
          <w:szCs w:val="32"/>
        </w:rPr>
        <w:t>（2）检查、督促、指导离退休干部党组织建设，加强离退休干部的政治理论学习和思想政治工作；</w:t>
      </w:r>
    </w:p>
    <w:p>
      <w:pPr>
        <w:ind w:firstLine="640" w:firstLineChars="200"/>
        <w:rPr>
          <w:rFonts w:hint="eastAsia" w:ascii="仿宋_GB2312" w:eastAsia="仿宋_GB2312"/>
          <w:sz w:val="32"/>
          <w:szCs w:val="32"/>
        </w:rPr>
      </w:pPr>
      <w:r>
        <w:rPr>
          <w:rFonts w:hint="eastAsia" w:ascii="仿宋_GB2312" w:eastAsia="仿宋_GB2312"/>
          <w:sz w:val="32"/>
          <w:szCs w:val="32"/>
        </w:rPr>
        <w:t>（3）负责全区离退休干部的政治待遇和生活待遇的全面落实，对全区离退休干部“两项待遇”工作进行监督、检查、指导；</w:t>
      </w:r>
    </w:p>
    <w:p>
      <w:pPr>
        <w:ind w:firstLine="640" w:firstLineChars="200"/>
        <w:rPr>
          <w:rFonts w:hint="eastAsia" w:ascii="仿宋_GB2312" w:eastAsia="仿宋_GB2312"/>
          <w:sz w:val="32"/>
          <w:szCs w:val="32"/>
        </w:rPr>
      </w:pPr>
      <w:r>
        <w:rPr>
          <w:rFonts w:hint="eastAsia" w:ascii="仿宋_GB2312" w:eastAsia="仿宋_GB2312"/>
          <w:sz w:val="32"/>
          <w:szCs w:val="32"/>
        </w:rPr>
        <w:t>（4）组织协调全区离退休干部参加重大活动，走访慰问老干部；</w:t>
      </w:r>
    </w:p>
    <w:p>
      <w:pPr>
        <w:ind w:firstLine="640" w:firstLineChars="200"/>
        <w:rPr>
          <w:rFonts w:hint="eastAsia" w:ascii="仿宋_GB2312" w:eastAsia="仿宋_GB2312"/>
          <w:sz w:val="32"/>
          <w:szCs w:val="32"/>
        </w:rPr>
      </w:pPr>
      <w:r>
        <w:rPr>
          <w:rFonts w:hint="eastAsia" w:ascii="仿宋_GB2312" w:eastAsia="仿宋_GB2312"/>
          <w:sz w:val="32"/>
          <w:szCs w:val="32"/>
        </w:rPr>
        <w:t>（5）指导做好老干部学习和活动场所的建设、管理和服务工作；</w:t>
      </w:r>
    </w:p>
    <w:p>
      <w:pPr>
        <w:ind w:firstLine="640" w:firstLineChars="200"/>
        <w:rPr>
          <w:rFonts w:hint="eastAsia" w:ascii="仿宋_GB2312" w:eastAsia="仿宋_GB2312"/>
          <w:sz w:val="32"/>
          <w:szCs w:val="32"/>
        </w:rPr>
      </w:pPr>
      <w:r>
        <w:rPr>
          <w:rFonts w:hint="eastAsia" w:ascii="仿宋_GB2312" w:eastAsia="仿宋_GB2312"/>
          <w:sz w:val="32"/>
          <w:szCs w:val="32"/>
        </w:rPr>
        <w:t>（6）负责组织指导离退休干部的文体健身活动及医疗保健服务工作；</w:t>
      </w:r>
    </w:p>
    <w:p>
      <w:pPr>
        <w:ind w:firstLine="640" w:firstLineChars="200"/>
        <w:rPr>
          <w:rFonts w:hint="eastAsia" w:ascii="仿宋_GB2312" w:eastAsia="仿宋_GB2312"/>
          <w:sz w:val="32"/>
          <w:szCs w:val="32"/>
        </w:rPr>
      </w:pPr>
      <w:r>
        <w:rPr>
          <w:rFonts w:hint="eastAsia" w:ascii="仿宋_GB2312" w:eastAsia="仿宋_GB2312"/>
          <w:sz w:val="32"/>
          <w:szCs w:val="32"/>
        </w:rPr>
        <w:t>（7）管理区老干部活动中心，督促、指导全区各单位老干部活动中心（室）、老年大学的阵地建设。</w:t>
      </w:r>
    </w:p>
    <w:p>
      <w:pPr>
        <w:ind w:firstLine="640" w:firstLineChars="200"/>
        <w:rPr>
          <w:rFonts w:hint="eastAsia" w:ascii="仿宋_GB2312" w:eastAsia="仿宋_GB2312"/>
          <w:sz w:val="32"/>
          <w:szCs w:val="32"/>
        </w:rPr>
      </w:pPr>
      <w:r>
        <w:rPr>
          <w:rFonts w:hint="eastAsia" w:ascii="仿宋_GB2312" w:eastAsia="仿宋_GB2312"/>
          <w:sz w:val="32"/>
          <w:szCs w:val="32"/>
        </w:rPr>
        <w:t>（8）负责离退休干部信息、统计工作。</w:t>
      </w:r>
    </w:p>
    <w:p>
      <w:pPr>
        <w:ind w:firstLine="640" w:firstLineChars="200"/>
        <w:rPr>
          <w:rFonts w:hint="eastAsia" w:ascii="仿宋_GB2312" w:eastAsia="仿宋_GB2312"/>
          <w:sz w:val="32"/>
          <w:szCs w:val="32"/>
        </w:rPr>
      </w:pPr>
      <w:r>
        <w:rPr>
          <w:rFonts w:hint="eastAsia" w:ascii="仿宋_GB2312" w:eastAsia="仿宋_GB2312"/>
          <w:sz w:val="32"/>
          <w:szCs w:val="32"/>
        </w:rPr>
        <w:t>（9）承办离退休干部信访工作，做好老干部服务管理工作。</w:t>
      </w:r>
    </w:p>
    <w:p>
      <w:pPr>
        <w:ind w:firstLine="640" w:firstLineChars="200"/>
        <w:rPr>
          <w:rFonts w:ascii="仿宋" w:hAnsi="仿宋" w:eastAsia="仿宋" w:cs="仿宋"/>
          <w:sz w:val="32"/>
          <w:szCs w:val="32"/>
        </w:rPr>
      </w:pPr>
      <w:r>
        <w:rPr>
          <w:rFonts w:hint="eastAsia" w:ascii="仿宋_GB2312" w:eastAsia="仿宋_GB2312"/>
          <w:sz w:val="32"/>
          <w:szCs w:val="32"/>
        </w:rPr>
        <w:t>（10）完成区委交办的其他工作。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eastAsia="zh-CN"/>
        </w:rPr>
        <w:t>单位设置</w:t>
      </w:r>
      <w:r>
        <w:rPr>
          <w:rFonts w:hint="eastAsia" w:ascii="仿宋" w:hAnsi="仿宋" w:eastAsia="仿宋" w:cs="仿宋"/>
          <w:b w:val="0"/>
          <w:bCs/>
          <w:color w:val="auto"/>
          <w:sz w:val="30"/>
          <w:szCs w:val="30"/>
          <w:highlight w:val="none"/>
          <w:lang w:val="en-US" w:eastAsia="zh-CN"/>
        </w:rPr>
        <w:t>3个</w:t>
      </w:r>
      <w:r>
        <w:rPr>
          <w:rFonts w:hint="eastAsia" w:ascii="仿宋" w:hAnsi="仿宋" w:eastAsia="仿宋" w:cs="仿宋"/>
          <w:b w:val="0"/>
          <w:bCs/>
          <w:color w:val="auto"/>
          <w:sz w:val="30"/>
          <w:szCs w:val="30"/>
          <w:highlight w:val="none"/>
          <w:lang w:eastAsia="zh-CN"/>
        </w:rPr>
        <w:t>股室，分别是：</w:t>
      </w:r>
      <w:r>
        <w:rPr>
          <w:rFonts w:hint="eastAsia" w:ascii="仿宋" w:hAnsi="仿宋" w:eastAsia="仿宋" w:cs="仿宋"/>
          <w:b w:val="0"/>
          <w:bCs/>
          <w:color w:val="auto"/>
          <w:sz w:val="30"/>
          <w:szCs w:val="30"/>
          <w:highlight w:val="none"/>
          <w:lang w:val="en-US" w:eastAsia="zh-CN"/>
        </w:rPr>
        <w:t>1、办公室；2、老干部活动中心；3、财务室</w:t>
      </w:r>
    </w:p>
    <w:p>
      <w:pPr>
        <w:spacing w:line="800" w:lineRule="exact"/>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职能如下：</w:t>
      </w:r>
    </w:p>
    <w:p>
      <w:pPr>
        <w:pStyle w:val="2"/>
        <w:numPr>
          <w:ilvl w:val="0"/>
          <w:numId w:val="2"/>
        </w:numPr>
        <w:ind w:firstLine="600" w:firstLineChars="200"/>
        <w:rPr>
          <w:rFonts w:hint="default"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办公室,负责本单位行政管理工作，督促检查行政各项制度的贯彻落实。</w:t>
      </w:r>
    </w:p>
    <w:p>
      <w:pPr>
        <w:pStyle w:val="2"/>
        <w:numPr>
          <w:ilvl w:val="0"/>
          <w:numId w:val="2"/>
        </w:numPr>
        <w:ind w:firstLine="600" w:firstLineChars="200"/>
        <w:rPr>
          <w:rFonts w:hint="default" w:ascii="仿宋" w:hAnsi="仿宋" w:eastAsia="仿宋" w:cs="仿宋"/>
          <w:b w:val="0"/>
          <w:bCs/>
          <w:color w:val="auto"/>
          <w:kern w:val="2"/>
          <w:sz w:val="30"/>
          <w:szCs w:val="30"/>
          <w:highlight w:val="none"/>
          <w:lang w:val="en-US" w:eastAsia="zh-CN" w:bidi="ar-SA"/>
        </w:rPr>
      </w:pPr>
      <w:r>
        <w:rPr>
          <w:rFonts w:hint="eastAsia" w:ascii="仿宋" w:hAnsi="仿宋" w:eastAsia="仿宋" w:cs="仿宋"/>
          <w:b w:val="0"/>
          <w:bCs/>
          <w:color w:val="auto"/>
          <w:kern w:val="2"/>
          <w:sz w:val="30"/>
          <w:szCs w:val="30"/>
          <w:highlight w:val="none"/>
          <w:lang w:val="en-US" w:eastAsia="zh-CN" w:bidi="ar-SA"/>
        </w:rPr>
        <w:t>老干部活动中心，负责做好对离退休干部文体组织的管理和服务工作，建立和完善离退休干部活动中心内部管理规章制度。</w:t>
      </w:r>
    </w:p>
    <w:p>
      <w:pPr>
        <w:pStyle w:val="2"/>
        <w:numPr>
          <w:ilvl w:val="0"/>
          <w:numId w:val="2"/>
        </w:numPr>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bidi="ar-SA"/>
        </w:rPr>
        <w:t xml:space="preserve">财务室，负责本单位的日常财务管理工作，制定财务计划及进行财务预算、决算。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bCs w:val="0"/>
          <w:color w:val="FF0000"/>
          <w:kern w:val="2"/>
          <w:sz w:val="30"/>
          <w:szCs w:val="30"/>
          <w:highlight w:val="none"/>
          <w:lang w:val="en-US" w:eastAsia="zh-CN" w:bidi="ar-SA"/>
        </w:rPr>
      </w:pPr>
      <w:r>
        <w:rPr>
          <w:rFonts w:hint="eastAsia" w:ascii="仿宋" w:hAnsi="仿宋" w:eastAsia="仿宋" w:cs="仿宋"/>
          <w:b w:val="0"/>
          <w:bCs/>
          <w:color w:val="auto"/>
          <w:sz w:val="30"/>
          <w:szCs w:val="30"/>
          <w:highlight w:val="none"/>
          <w:lang w:eastAsia="zh-CN"/>
        </w:rPr>
        <w:t>我单位为二级单位，无下设单位。</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单位部门决算包括：本级决算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pStyle w:val="2"/>
        <w:rPr>
          <w:rFonts w:ascii="黑体" w:hAnsi="黑体" w:eastAsia="黑体" w:cs="黑体"/>
          <w:snapToGrid w:val="0"/>
          <w:color w:val="000000"/>
          <w:spacing w:val="-4"/>
          <w:kern w:val="0"/>
          <w:sz w:val="32"/>
          <w:szCs w:val="32"/>
        </w:rPr>
      </w:pPr>
    </w:p>
    <w:p>
      <w:pPr>
        <w:ind w:firstLine="2808" w:firstLineChars="900"/>
        <w:jc w:val="both"/>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highlight w:val="none"/>
        </w:rPr>
      </w:pPr>
      <w:bookmarkStart w:id="5" w:name="_Toc1653_WPSOffice_Level2"/>
      <w:bookmarkStart w:id="6" w:name="_Toc22880_WPSOffice_Level2"/>
      <w:r>
        <w:rPr>
          <w:rFonts w:hint="eastAsia" w:ascii="楷体" w:hAnsi="楷体" w:eastAsia="楷体" w:cs="楷体"/>
          <w:spacing w:val="-3"/>
          <w:sz w:val="32"/>
          <w:szCs w:val="32"/>
          <w:highlight w:val="none"/>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highlight w:val="none"/>
          <w:shd w:val="clear" w:color="auto" w:fill="auto"/>
          <w:lang w:val="en-US" w:eastAsia="zh-CN"/>
        </w:rPr>
      </w:pPr>
      <w:bookmarkStart w:id="7" w:name="_Toc14383_WPSOffice_Level2"/>
      <w:r>
        <w:rPr>
          <w:rFonts w:hint="eastAsia" w:ascii="宋体" w:hAnsi="宋体" w:eastAsia="仿宋_GB2312" w:cs="Times New Roman"/>
          <w:sz w:val="32"/>
          <w:szCs w:val="32"/>
          <w:highlight w:val="none"/>
          <w:shd w:val="clear" w:color="auto" w:fill="auto"/>
          <w:lang w:eastAsia="zh-CN"/>
        </w:rPr>
        <w:t>2021</w:t>
      </w:r>
      <w:r>
        <w:rPr>
          <w:rFonts w:hint="eastAsia" w:ascii="宋体" w:hAnsi="宋体" w:eastAsia="仿宋_GB2312" w:cs="Times New Roman"/>
          <w:sz w:val="32"/>
          <w:szCs w:val="32"/>
          <w:highlight w:val="none"/>
          <w:shd w:val="clear" w:color="auto" w:fill="auto"/>
        </w:rPr>
        <w:t xml:space="preserve"> 年 度 收 入 总 计</w:t>
      </w:r>
      <w:r>
        <w:rPr>
          <w:rFonts w:hint="eastAsia" w:ascii="宋体" w:hAnsi="宋体" w:eastAsia="仿宋_GB2312" w:cs="Times New Roman"/>
          <w:sz w:val="32"/>
          <w:szCs w:val="32"/>
          <w:highlight w:val="none"/>
          <w:shd w:val="clear" w:color="auto" w:fill="auto"/>
          <w:lang w:val="en-US" w:eastAsia="zh-CN"/>
        </w:rPr>
        <w:t>173.91</w:t>
      </w:r>
      <w:r>
        <w:rPr>
          <w:rFonts w:hint="eastAsia" w:ascii="宋体" w:hAnsi="宋体" w:eastAsia="仿宋_GB2312" w:cs="Times New Roman"/>
          <w:sz w:val="32"/>
          <w:szCs w:val="32"/>
          <w:highlight w:val="none"/>
          <w:shd w:val="clear" w:color="auto" w:fill="auto"/>
        </w:rPr>
        <w:t>万元 、 支 出 总 计</w:t>
      </w:r>
      <w:r>
        <w:rPr>
          <w:rFonts w:hint="eastAsia" w:ascii="宋体" w:hAnsi="宋体" w:eastAsia="仿宋_GB2312" w:cs="Times New Roman"/>
          <w:sz w:val="32"/>
          <w:szCs w:val="32"/>
          <w:highlight w:val="none"/>
          <w:shd w:val="clear" w:color="auto" w:fill="auto"/>
          <w:lang w:val="en-US" w:eastAsia="zh-CN"/>
        </w:rPr>
        <w:t>173.91</w:t>
      </w:r>
      <w:r>
        <w:rPr>
          <w:rFonts w:hint="eastAsia" w:ascii="宋体" w:hAnsi="宋体" w:eastAsia="仿宋_GB2312" w:cs="Times New Roman"/>
          <w:sz w:val="32"/>
          <w:szCs w:val="32"/>
          <w:highlight w:val="none"/>
          <w:shd w:val="clear" w:color="auto" w:fill="auto"/>
        </w:rPr>
        <w:t xml:space="preserve">万元。与 </w:t>
      </w:r>
      <w:r>
        <w:rPr>
          <w:rFonts w:hint="eastAsia" w:ascii="宋体" w:hAnsi="宋体" w:eastAsia="仿宋_GB2312" w:cs="Times New Roman"/>
          <w:sz w:val="32"/>
          <w:szCs w:val="32"/>
          <w:highlight w:val="none"/>
          <w:shd w:val="clear" w:color="auto" w:fill="auto"/>
          <w:lang w:eastAsia="zh-CN"/>
        </w:rPr>
        <w:t>2020</w:t>
      </w:r>
      <w:r>
        <w:rPr>
          <w:rFonts w:hint="eastAsia" w:ascii="宋体" w:hAnsi="宋体" w:eastAsia="仿宋_GB2312" w:cs="Times New Roman"/>
          <w:sz w:val="32"/>
          <w:szCs w:val="32"/>
          <w:highlight w:val="none"/>
          <w:shd w:val="clear" w:color="auto" w:fill="auto"/>
        </w:rPr>
        <w:t>年相比,收入总计</w:t>
      </w:r>
      <w:r>
        <w:rPr>
          <w:rFonts w:hint="eastAsia" w:ascii="宋体" w:hAnsi="宋体" w:eastAsia="仿宋_GB2312" w:cs="Times New Roman"/>
          <w:sz w:val="32"/>
          <w:szCs w:val="32"/>
          <w:highlight w:val="none"/>
          <w:shd w:val="clear" w:color="auto" w:fill="auto"/>
          <w:lang w:val="en-US" w:eastAsia="zh-CN"/>
        </w:rPr>
        <w:t>减少11.61</w:t>
      </w:r>
      <w:r>
        <w:rPr>
          <w:rFonts w:hint="eastAsia" w:ascii="宋体" w:hAnsi="宋体" w:eastAsia="仿宋_GB2312" w:cs="Times New Roman"/>
          <w:sz w:val="32"/>
          <w:szCs w:val="32"/>
          <w:highlight w:val="none"/>
          <w:shd w:val="clear" w:color="auto" w:fill="auto"/>
        </w:rPr>
        <w:t>万元，支出总计</w:t>
      </w:r>
      <w:r>
        <w:rPr>
          <w:rFonts w:hint="eastAsia" w:ascii="宋体" w:hAnsi="宋体" w:eastAsia="仿宋_GB2312" w:cs="Times New Roman"/>
          <w:sz w:val="32"/>
          <w:szCs w:val="32"/>
          <w:highlight w:val="none"/>
          <w:shd w:val="clear" w:color="auto" w:fill="auto"/>
          <w:lang w:val="en-US" w:eastAsia="zh-CN"/>
        </w:rPr>
        <w:t>减少</w:t>
      </w:r>
      <w:r>
        <w:rPr>
          <w:rFonts w:ascii="仿宋" w:hAnsi="仿宋" w:eastAsia="仿宋" w:cs="仿宋"/>
          <w:spacing w:val="-34"/>
          <w:sz w:val="32"/>
          <w:szCs w:val="32"/>
          <w:highlight w:val="none"/>
          <w:shd w:val="clear" w:color="auto" w:fill="auto"/>
        </w:rPr>
        <w:t xml:space="preserve"> </w:t>
      </w:r>
      <w:r>
        <w:rPr>
          <w:rFonts w:hint="eastAsia" w:ascii="仿宋" w:hAnsi="仿宋" w:eastAsia="仿宋" w:cs="仿宋"/>
          <w:spacing w:val="-34"/>
          <w:sz w:val="32"/>
          <w:szCs w:val="32"/>
          <w:highlight w:val="none"/>
          <w:shd w:val="clear" w:color="auto" w:fill="auto"/>
          <w:lang w:val="en-US" w:eastAsia="zh-CN"/>
        </w:rPr>
        <w:t>11.61</w:t>
      </w:r>
      <w:r>
        <w:rPr>
          <w:rFonts w:hint="eastAsia" w:ascii="宋体" w:hAnsi="宋体" w:eastAsia="仿宋_GB2312" w:cs="Times New Roman"/>
          <w:sz w:val="32"/>
          <w:szCs w:val="32"/>
          <w:highlight w:val="none"/>
          <w:shd w:val="clear" w:color="auto" w:fill="auto"/>
        </w:rPr>
        <w:t>万元。主要原因是</w:t>
      </w:r>
      <w:r>
        <w:rPr>
          <w:rFonts w:hint="eastAsia" w:ascii="宋体" w:hAnsi="宋体" w:eastAsia="仿宋_GB2312" w:cs="Times New Roman"/>
          <w:sz w:val="32"/>
          <w:szCs w:val="32"/>
          <w:highlight w:val="none"/>
          <w:shd w:val="clear" w:color="auto" w:fill="auto"/>
          <w:lang w:eastAsia="zh-CN"/>
        </w:rPr>
        <w:t>：</w:t>
      </w:r>
      <w:r>
        <w:rPr>
          <w:rFonts w:hint="eastAsia" w:ascii="宋体" w:hAnsi="宋体" w:eastAsia="仿宋_GB2312" w:cs="Times New Roman"/>
          <w:sz w:val="32"/>
          <w:szCs w:val="32"/>
          <w:highlight w:val="none"/>
          <w:shd w:val="clear" w:color="auto" w:fill="auto"/>
          <w:lang w:val="en-US" w:eastAsia="zh-CN"/>
        </w:rPr>
        <w:t>2020年离退休干部特困帮扶费比2021年多。</w:t>
      </w:r>
    </w:p>
    <w:p>
      <w:pPr>
        <w:spacing w:line="204" w:lineRule="auto"/>
        <w:jc w:val="left"/>
        <w:rPr>
          <w:rFonts w:ascii="楷体" w:hAnsi="楷体" w:eastAsia="楷体" w:cs="楷体"/>
          <w:spacing w:val="-2"/>
          <w:sz w:val="32"/>
          <w:szCs w:val="32"/>
          <w:highlight w:val="none"/>
        </w:rPr>
      </w:pPr>
      <w:r>
        <w:rPr>
          <w:rFonts w:hint="eastAsia" w:ascii="楷体" w:hAnsi="楷体" w:eastAsia="楷体" w:cs="楷体"/>
          <w:spacing w:val="-3"/>
          <w:sz w:val="32"/>
          <w:szCs w:val="32"/>
          <w:highlight w:val="none"/>
        </w:rPr>
        <w:t>二、</w:t>
      </w:r>
      <w:r>
        <w:rPr>
          <w:rFonts w:ascii="楷体" w:hAnsi="楷体" w:eastAsia="楷体" w:cs="楷体"/>
          <w:spacing w:val="-3"/>
          <w:sz w:val="32"/>
          <w:szCs w:val="32"/>
          <w:highlight w:val="none"/>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173.91</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173.91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173.91</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80.16</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93.75</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shd w:val="clear" w:color="auto" w:fill="auto"/>
          <w:lang w:val="en-US" w:eastAsia="zh-CN"/>
        </w:rPr>
      </w:pPr>
      <w:bookmarkStart w:id="12" w:name="_Toc2892_WPSOffice_Level2"/>
      <w:bookmarkStart w:id="13" w:name="_Toc23250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年度财政拨款收入总计</w:t>
      </w:r>
      <w:r>
        <w:rPr>
          <w:rFonts w:hint="eastAsia" w:ascii="宋体" w:hAnsi="宋体" w:eastAsia="仿宋_GB2312" w:cs="Times New Roman"/>
          <w:sz w:val="32"/>
          <w:szCs w:val="32"/>
          <w:highlight w:val="none"/>
          <w:lang w:val="en-US" w:eastAsia="zh-CN"/>
        </w:rPr>
        <w:t>173.91</w:t>
      </w:r>
      <w:r>
        <w:rPr>
          <w:rFonts w:hint="eastAsia" w:ascii="宋体" w:hAnsi="宋体" w:eastAsia="仿宋_GB2312" w:cs="Times New Roman"/>
          <w:sz w:val="32"/>
          <w:szCs w:val="32"/>
          <w:highlight w:val="none"/>
        </w:rPr>
        <w:t>万元、支出总计</w:t>
      </w:r>
      <w:r>
        <w:rPr>
          <w:rFonts w:hint="eastAsia" w:ascii="宋体" w:hAnsi="宋体" w:eastAsia="仿宋_GB2312" w:cs="Times New Roman"/>
          <w:sz w:val="32"/>
          <w:szCs w:val="32"/>
          <w:highlight w:val="none"/>
          <w:lang w:val="en-US" w:eastAsia="zh-CN"/>
        </w:rPr>
        <w:t>173.91</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年相比，财政拨款收入总计</w:t>
      </w:r>
      <w:r>
        <w:rPr>
          <w:rFonts w:hint="eastAsia" w:ascii="宋体" w:hAnsi="宋体" w:eastAsia="仿宋_GB2312" w:cs="Times New Roman"/>
          <w:sz w:val="32"/>
          <w:szCs w:val="32"/>
          <w:highlight w:val="none"/>
          <w:lang w:val="en-US" w:eastAsia="zh-CN"/>
        </w:rPr>
        <w:t>减少</w:t>
      </w:r>
      <w:r>
        <w:rPr>
          <w:rFonts w:ascii="仿宋" w:hAnsi="仿宋" w:eastAsia="仿宋" w:cs="仿宋"/>
          <w:spacing w:val="-34"/>
          <w:sz w:val="32"/>
          <w:szCs w:val="32"/>
          <w:highlight w:val="none"/>
        </w:rPr>
        <w:t xml:space="preserve"> </w:t>
      </w:r>
      <w:r>
        <w:rPr>
          <w:rFonts w:hint="eastAsia" w:ascii="仿宋" w:hAnsi="仿宋" w:eastAsia="仿宋" w:cs="仿宋"/>
          <w:spacing w:val="-34"/>
          <w:sz w:val="32"/>
          <w:szCs w:val="32"/>
          <w:highlight w:val="none"/>
          <w:lang w:val="en-US" w:eastAsia="zh-CN"/>
        </w:rPr>
        <w:t>11.61</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val="en-US" w:eastAsia="zh-CN"/>
        </w:rPr>
        <w:t>降低6.26</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shd w:val="clear" w:color="auto" w:fill="auto"/>
        </w:rPr>
        <w:t>主要原因</w:t>
      </w:r>
      <w:r>
        <w:rPr>
          <w:rFonts w:hint="eastAsia" w:ascii="宋体" w:hAnsi="宋体" w:eastAsia="仿宋_GB2312" w:cs="Times New Roman"/>
          <w:sz w:val="32"/>
          <w:szCs w:val="32"/>
          <w:highlight w:val="none"/>
          <w:shd w:val="clear" w:color="auto" w:fill="auto"/>
          <w:lang w:eastAsia="zh-CN"/>
        </w:rPr>
        <w:t>：</w:t>
      </w:r>
      <w:r>
        <w:rPr>
          <w:rFonts w:hint="eastAsia" w:ascii="宋体" w:hAnsi="宋体" w:eastAsia="仿宋_GB2312" w:cs="Times New Roman"/>
          <w:sz w:val="32"/>
          <w:szCs w:val="32"/>
          <w:highlight w:val="none"/>
          <w:shd w:val="clear" w:color="auto" w:fill="auto"/>
          <w:lang w:val="en-US" w:eastAsia="zh-CN"/>
        </w:rPr>
        <w:t>2020年离退休干部特困帮扶费比2021年多。</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pBdr>
          <w:top w:val="none" w:color="auto" w:sz="0" w:space="0"/>
          <w:left w:val="none" w:color="auto" w:sz="0" w:space="0"/>
          <w:bottom w:val="none" w:color="auto" w:sz="0" w:space="0"/>
          <w:right w:val="none" w:color="auto" w:sz="0" w:space="0"/>
        </w:pBd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1.财政拨款支出决算总体情况</w:t>
      </w:r>
    </w:p>
    <w:p>
      <w:pPr>
        <w:pBdr>
          <w:top w:val="none" w:color="auto" w:sz="0" w:space="0"/>
          <w:left w:val="none" w:color="auto" w:sz="0" w:space="0"/>
          <w:bottom w:val="none" w:color="auto" w:sz="0" w:space="0"/>
          <w:right w:val="none" w:color="auto" w:sz="0" w:space="0"/>
        </w:pBdr>
        <w:ind w:firstLine="640" w:firstLineChars="200"/>
        <w:rPr>
          <w:rFonts w:hint="default" w:ascii="宋体" w:hAnsi="宋体" w:eastAsia="仿宋_GB2312" w:cs="Times New Roman"/>
          <w:sz w:val="32"/>
          <w:szCs w:val="32"/>
          <w:highlight w:val="none"/>
          <w:shd w:val="clear" w:color="auto" w:fill="auto"/>
          <w:lang w:val="en-US" w:eastAsia="zh-CN"/>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宋体" w:hAnsi="宋体" w:eastAsia="仿宋_GB2312" w:cs="Times New Roman"/>
          <w:sz w:val="32"/>
          <w:szCs w:val="32"/>
          <w:highlight w:val="none"/>
          <w:lang w:val="en-US" w:eastAsia="zh-CN"/>
        </w:rPr>
        <w:t>173.91</w:t>
      </w:r>
      <w:r>
        <w:rPr>
          <w:rFonts w:hint="eastAsia" w:ascii="宋体" w:hAnsi="宋体" w:eastAsia="仿宋_GB2312" w:cs="Times New Roman"/>
          <w:sz w:val="32"/>
          <w:szCs w:val="32"/>
          <w:highlight w:val="none"/>
        </w:rPr>
        <w:t xml:space="preserve">万元，与 </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 xml:space="preserve"> 年相比，财政拨款支出</w:t>
      </w:r>
      <w:r>
        <w:rPr>
          <w:rFonts w:hint="eastAsia" w:ascii="宋体" w:hAnsi="宋体" w:eastAsia="仿宋_GB2312" w:cs="Times New Roman"/>
          <w:sz w:val="32"/>
          <w:szCs w:val="32"/>
          <w:highlight w:val="none"/>
          <w:lang w:val="en-US" w:eastAsia="zh-CN"/>
        </w:rPr>
        <w:t>减少</w:t>
      </w:r>
      <w:r>
        <w:rPr>
          <w:rFonts w:ascii="仿宋" w:hAnsi="仿宋" w:eastAsia="仿宋" w:cs="仿宋"/>
          <w:spacing w:val="-34"/>
          <w:sz w:val="32"/>
          <w:szCs w:val="32"/>
          <w:highlight w:val="none"/>
        </w:rPr>
        <w:t xml:space="preserve"> </w:t>
      </w:r>
      <w:r>
        <w:rPr>
          <w:rFonts w:hint="eastAsia" w:ascii="仿宋" w:hAnsi="仿宋" w:eastAsia="仿宋" w:cs="仿宋"/>
          <w:spacing w:val="-34"/>
          <w:sz w:val="32"/>
          <w:szCs w:val="32"/>
          <w:highlight w:val="none"/>
          <w:lang w:val="en-US" w:eastAsia="zh-CN"/>
        </w:rPr>
        <w:t>11.61</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shd w:val="clear" w:color="auto" w:fill="auto"/>
        </w:rPr>
        <w:t>主要原因是</w:t>
      </w:r>
      <w:r>
        <w:rPr>
          <w:rFonts w:hint="eastAsia" w:ascii="宋体" w:hAnsi="宋体" w:eastAsia="仿宋_GB2312" w:cs="Times New Roman"/>
          <w:sz w:val="32"/>
          <w:szCs w:val="32"/>
          <w:highlight w:val="none"/>
          <w:shd w:val="clear" w:color="auto" w:fill="auto"/>
          <w:lang w:eastAsia="zh-CN"/>
        </w:rPr>
        <w:t>：</w:t>
      </w:r>
      <w:r>
        <w:rPr>
          <w:rFonts w:hint="eastAsia" w:ascii="宋体" w:hAnsi="宋体" w:eastAsia="仿宋_GB2312" w:cs="Times New Roman"/>
          <w:sz w:val="32"/>
          <w:szCs w:val="32"/>
          <w:highlight w:val="none"/>
          <w:shd w:val="clear" w:color="auto" w:fill="auto"/>
          <w:lang w:val="en-US" w:eastAsia="zh-CN"/>
        </w:rPr>
        <w:t>2020年离退休干部特困帮扶费比2021年多。</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2.财政拨款支出决算结构情况</w:t>
      </w:r>
    </w:p>
    <w:p>
      <w:pPr>
        <w:spacing w:line="360" w:lineRule="auto"/>
        <w:ind w:firstLine="640" w:firstLineChars="200"/>
        <w:rPr>
          <w:rFonts w:hint="default" w:ascii="仿宋" w:hAnsi="仿宋" w:eastAsia="仿宋_GB2312" w:cs="仿宋"/>
          <w:sz w:val="32"/>
          <w:szCs w:val="32"/>
          <w:highlight w:val="none"/>
          <w:lang w:val="en-US" w:eastAsia="zh-CN"/>
        </w:rPr>
      </w:pPr>
      <w:bookmarkStart w:id="14" w:name="_Toc27424_WPSOffice_Level2"/>
      <w:bookmarkStart w:id="15" w:name="_Toc1066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宋体" w:hAnsi="宋体" w:eastAsia="仿宋_GB2312" w:cs="Times New Roman"/>
          <w:sz w:val="32"/>
          <w:szCs w:val="32"/>
          <w:highlight w:val="none"/>
          <w:lang w:val="en-US" w:eastAsia="zh-CN"/>
        </w:rPr>
        <w:t>173.91</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2013101行政运行支出102.85万元，占比59.14%；2013102一般行政管理事务支出13万元，占比7.47%；2013103机关服务支出32.4万元，占比18.63%；2080801死亡抚恤支出25.66万元，占比14.76%。</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3.一般公共预算财政拨款支出决算具体情况。</w:t>
      </w:r>
    </w:p>
    <w:p>
      <w:pPr>
        <w:ind w:firstLine="640" w:firstLineChars="200"/>
        <w:rPr>
          <w:rFonts w:hint="default" w:ascii="仿宋" w:hAnsi="仿宋" w:eastAsia="仿宋_GB2312" w:cs="仿宋"/>
          <w:spacing w:val="4"/>
          <w:sz w:val="32"/>
          <w:szCs w:val="32"/>
          <w:highlight w:val="none"/>
          <w:lang w:val="en-US" w:eastAsia="zh-CN"/>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年度一般公共预算财政拨款支出当年调整预算数</w:t>
      </w:r>
      <w:r>
        <w:rPr>
          <w:rFonts w:hint="eastAsia" w:ascii="宋体" w:hAnsi="宋体" w:eastAsia="仿宋_GB2312" w:cs="Times New Roman"/>
          <w:sz w:val="32"/>
          <w:szCs w:val="32"/>
          <w:highlight w:val="none"/>
          <w:lang w:val="en-US" w:eastAsia="zh-CN"/>
        </w:rPr>
        <w:t>173.91</w:t>
      </w:r>
      <w:r>
        <w:rPr>
          <w:rFonts w:hint="eastAsia" w:ascii="宋体" w:hAnsi="宋体" w:eastAsia="仿宋_GB2312" w:cs="Times New Roman"/>
          <w:sz w:val="32"/>
          <w:szCs w:val="32"/>
          <w:highlight w:val="none"/>
        </w:rPr>
        <w:t>万元，支出决算为</w:t>
      </w:r>
      <w:r>
        <w:rPr>
          <w:rFonts w:hint="eastAsia" w:ascii="宋体" w:hAnsi="宋体" w:eastAsia="仿宋_GB2312" w:cs="Times New Roman"/>
          <w:sz w:val="32"/>
          <w:szCs w:val="32"/>
          <w:highlight w:val="none"/>
          <w:lang w:val="en-US" w:eastAsia="zh-CN"/>
        </w:rPr>
        <w:t>173.91</w:t>
      </w:r>
      <w:r>
        <w:rPr>
          <w:rFonts w:hint="eastAsia" w:ascii="宋体" w:hAnsi="宋体" w:eastAsia="仿宋_GB2312" w:cs="Times New Roman"/>
          <w:sz w:val="32"/>
          <w:szCs w:val="32"/>
          <w:highlight w:val="none"/>
        </w:rPr>
        <w:t>万元，完成当年调整预算的</w:t>
      </w:r>
      <w:r>
        <w:rPr>
          <w:rFonts w:hint="eastAsia" w:ascii="宋体" w:hAnsi="宋体" w:eastAsia="仿宋_GB2312" w:cs="Times New Roman"/>
          <w:sz w:val="32"/>
          <w:szCs w:val="32"/>
          <w:highlight w:val="none"/>
          <w:lang w:val="en-US" w:eastAsia="zh-CN"/>
        </w:rPr>
        <w:t>100</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六、一般公共预算财政拨款基本支出决算情况说明</w:t>
      </w:r>
      <w:bookmarkEnd w:id="14"/>
      <w:bookmarkEnd w:id="15"/>
    </w:p>
    <w:p>
      <w:pPr>
        <w:ind w:firstLine="640" w:firstLineChars="200"/>
        <w:rPr>
          <w:rFonts w:ascii="宋体" w:hAnsi="宋体" w:eastAsia="仿宋_GB2312" w:cs="Times New Roman"/>
          <w:sz w:val="32"/>
          <w:szCs w:val="32"/>
          <w:highlight w:val="none"/>
        </w:rPr>
      </w:pPr>
      <w:bookmarkStart w:id="16" w:name="_Toc28951_WPSOffice_Level2"/>
      <w:bookmarkStart w:id="17" w:name="_Toc21993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年度财政拨款基本支出</w:t>
      </w:r>
      <w:r>
        <w:rPr>
          <w:rFonts w:hint="eastAsia" w:ascii="宋体" w:hAnsi="宋体" w:eastAsia="仿宋_GB2312" w:cs="Times New Roman"/>
          <w:sz w:val="32"/>
          <w:szCs w:val="32"/>
          <w:highlight w:val="none"/>
          <w:lang w:val="en-US" w:eastAsia="zh-CN"/>
        </w:rPr>
        <w:t>80.16</w:t>
      </w:r>
      <w:r>
        <w:rPr>
          <w:rFonts w:hint="eastAsia" w:ascii="宋体" w:hAnsi="宋体" w:eastAsia="仿宋_GB2312" w:cs="Times New Roman"/>
          <w:sz w:val="32"/>
          <w:szCs w:val="32"/>
          <w:highlight w:val="none"/>
        </w:rPr>
        <w:t>万元，其中：人员经费</w:t>
      </w:r>
      <w:r>
        <w:rPr>
          <w:rFonts w:hint="eastAsia" w:ascii="宋体" w:hAnsi="宋体" w:eastAsia="仿宋_GB2312" w:cs="Times New Roman"/>
          <w:sz w:val="32"/>
          <w:szCs w:val="32"/>
          <w:highlight w:val="none"/>
          <w:lang w:val="en-US" w:eastAsia="zh-CN"/>
        </w:rPr>
        <w:t>78.06</w:t>
      </w:r>
      <w:r>
        <w:rPr>
          <w:rFonts w:hint="eastAsia" w:ascii="宋体" w:hAnsi="宋体" w:eastAsia="仿宋_GB2312" w:cs="Times New Roman"/>
          <w:sz w:val="32"/>
          <w:szCs w:val="32"/>
          <w:highlight w:val="none"/>
        </w:rPr>
        <w:t>万元，主要包括工资福利支出</w:t>
      </w:r>
      <w:r>
        <w:rPr>
          <w:rFonts w:hint="eastAsia" w:ascii="宋体" w:hAnsi="宋体" w:eastAsia="仿宋_GB2312" w:cs="Times New Roman"/>
          <w:sz w:val="32"/>
          <w:szCs w:val="32"/>
          <w:highlight w:val="none"/>
          <w:lang w:val="en-US" w:eastAsia="zh-CN"/>
        </w:rPr>
        <w:t>61.66</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对个人和家庭的补助</w:t>
      </w:r>
      <w:r>
        <w:rPr>
          <w:rFonts w:hint="eastAsia" w:ascii="宋体" w:hAnsi="宋体" w:eastAsia="仿宋_GB2312" w:cs="Times New Roman"/>
          <w:sz w:val="32"/>
          <w:szCs w:val="32"/>
          <w:highlight w:val="none"/>
          <w:lang w:val="en-US" w:eastAsia="zh-CN"/>
        </w:rPr>
        <w:t>16.40</w:t>
      </w:r>
      <w:r>
        <w:rPr>
          <w:rFonts w:hint="eastAsia" w:ascii="宋体" w:hAnsi="宋体" w:eastAsia="仿宋_GB2312" w:cs="Times New Roman"/>
          <w:sz w:val="32"/>
          <w:szCs w:val="32"/>
          <w:highlight w:val="none"/>
        </w:rPr>
        <w:t>万元；公用经费</w:t>
      </w:r>
      <w:r>
        <w:rPr>
          <w:rFonts w:hint="eastAsia" w:ascii="宋体" w:hAnsi="宋体" w:eastAsia="仿宋_GB2312" w:cs="Times New Roman"/>
          <w:sz w:val="32"/>
          <w:szCs w:val="32"/>
          <w:highlight w:val="none"/>
          <w:lang w:val="en-US" w:eastAsia="zh-CN"/>
        </w:rPr>
        <w:t>2.10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lang w:val="en-US" w:eastAsia="zh-CN"/>
        </w:rPr>
        <w:t>其他商品和服务支出2.10万元</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highlight w:val="none"/>
          <w:lang w:eastAsia="zh-CN"/>
        </w:rPr>
      </w:pPr>
      <w:bookmarkStart w:id="18" w:name="_Toc9131_WPSOffice_Level2"/>
      <w:bookmarkStart w:id="19" w:name="_Toc10214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w:t>
      </w:r>
      <w:r>
        <w:rPr>
          <w:rFonts w:hint="eastAsia" w:ascii="宋体" w:hAnsi="宋体" w:eastAsia="仿宋_GB2312" w:cs="Times New Roman"/>
          <w:sz w:val="32"/>
          <w:szCs w:val="32"/>
          <w:highlight w:val="none"/>
          <w:lang w:eastAsia="zh-CN"/>
        </w:rPr>
        <w:t>，我单位无“三公”经费。</w:t>
      </w:r>
    </w:p>
    <w:bookmarkEnd w:id="18"/>
    <w:bookmarkEnd w:id="19"/>
    <w:p>
      <w:pPr>
        <w:numPr>
          <w:ilvl w:val="0"/>
          <w:numId w:val="4"/>
        </w:num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政府性基金预算收入支出决算情况说明</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年政府性基金预算财政拨款本年收入</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万元，本年支出</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w:t>
      </w:r>
    </w:p>
    <w:p>
      <w:pPr>
        <w:numPr>
          <w:ilvl w:val="0"/>
          <w:numId w:val="4"/>
        </w:num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其他重要事项的情况说明</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单位机关运行经费支出</w:t>
      </w:r>
      <w:r>
        <w:rPr>
          <w:rFonts w:hint="eastAsia" w:ascii="宋体" w:hAnsi="宋体" w:eastAsia="仿宋_GB2312" w:cs="Times New Roman"/>
          <w:sz w:val="32"/>
          <w:szCs w:val="32"/>
          <w:highlight w:val="none"/>
          <w:lang w:val="en-US" w:eastAsia="zh-CN"/>
        </w:rPr>
        <w:t>2.10</w:t>
      </w:r>
      <w:r>
        <w:rPr>
          <w:rFonts w:hint="eastAsia" w:ascii="宋体" w:hAnsi="宋体" w:eastAsia="仿宋_GB2312" w:cs="Times New Roman"/>
          <w:sz w:val="32"/>
          <w:szCs w:val="32"/>
          <w:highlight w:val="none"/>
        </w:rPr>
        <w:t>万元，比</w:t>
      </w:r>
      <w:r>
        <w:rPr>
          <w:rFonts w:hint="eastAsia" w:ascii="宋体" w:hAnsi="宋体" w:eastAsia="仿宋_GB2312" w:cs="Times New Roman"/>
          <w:sz w:val="32"/>
          <w:szCs w:val="32"/>
          <w:highlight w:val="none"/>
          <w:lang w:eastAsia="zh-CN"/>
        </w:rPr>
        <w:t>2020</w:t>
      </w:r>
      <w:r>
        <w:rPr>
          <w:rFonts w:hint="eastAsia" w:ascii="宋体" w:hAnsi="宋体" w:eastAsia="仿宋_GB2312" w:cs="Times New Roman"/>
          <w:sz w:val="32"/>
          <w:szCs w:val="32"/>
          <w:highlight w:val="none"/>
        </w:rPr>
        <w:t>年</w:t>
      </w:r>
      <w:r>
        <w:rPr>
          <w:rFonts w:hint="eastAsia" w:ascii="宋体" w:hAnsi="宋体" w:eastAsia="仿宋_GB2312" w:cs="Times New Roman"/>
          <w:sz w:val="32"/>
          <w:szCs w:val="32"/>
          <w:highlight w:val="none"/>
          <w:lang w:val="en-US" w:eastAsia="zh-CN"/>
        </w:rPr>
        <w:t>减少56.95</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val="en-US" w:eastAsia="zh-CN"/>
        </w:rPr>
        <w:t>降低96.44</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shd w:val="clear" w:color="auto" w:fill="auto"/>
        </w:rPr>
        <w:t>主要原因是</w:t>
      </w:r>
      <w:r>
        <w:rPr>
          <w:rFonts w:hint="eastAsia" w:ascii="宋体" w:hAnsi="宋体" w:eastAsia="仿宋_GB2312" w:cs="Times New Roman"/>
          <w:sz w:val="32"/>
          <w:szCs w:val="32"/>
          <w:highlight w:val="none"/>
          <w:shd w:val="clear" w:color="auto" w:fill="auto"/>
          <w:lang w:val="en-US" w:eastAsia="zh-CN"/>
        </w:rPr>
        <w:t>2020年、2021年单位机关运行经费统计口径不一致，故数据有较大的差距。</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2.政府采购支出情况</w:t>
      </w:r>
    </w:p>
    <w:p>
      <w:pPr>
        <w:ind w:firstLine="640" w:firstLineChars="200"/>
        <w:rPr>
          <w:rFonts w:hint="default"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年我单位政府采购总额</w:t>
      </w:r>
      <w:r>
        <w:rPr>
          <w:rFonts w:hint="eastAsia" w:ascii="宋体" w:hAnsi="宋体" w:eastAsia="仿宋_GB2312" w:cs="Times New Roman"/>
          <w:sz w:val="32"/>
          <w:szCs w:val="32"/>
          <w:highlight w:val="none"/>
          <w:lang w:val="en-US" w:eastAsia="zh-CN"/>
        </w:rPr>
        <w:t>0.9</w:t>
      </w:r>
      <w:r>
        <w:rPr>
          <w:rFonts w:hint="eastAsia" w:ascii="宋体" w:hAnsi="宋体" w:eastAsia="仿宋_GB2312" w:cs="Times New Roman"/>
          <w:sz w:val="32"/>
          <w:szCs w:val="32"/>
          <w:highlight w:val="none"/>
        </w:rPr>
        <w:t>万元，其中：政府采购货物</w:t>
      </w:r>
      <w:r>
        <w:rPr>
          <w:rFonts w:hint="eastAsia" w:ascii="宋体" w:hAnsi="宋体" w:eastAsia="仿宋_GB2312" w:cs="Times New Roman"/>
          <w:sz w:val="32"/>
          <w:szCs w:val="32"/>
          <w:highlight w:val="none"/>
          <w:lang w:val="en-US" w:eastAsia="zh-CN"/>
        </w:rPr>
        <w:t>0.9</w:t>
      </w:r>
      <w:r>
        <w:rPr>
          <w:rFonts w:hint="eastAsia" w:ascii="宋体" w:hAnsi="宋体" w:eastAsia="仿宋_GB2312" w:cs="Times New Roman"/>
          <w:sz w:val="32"/>
          <w:szCs w:val="32"/>
          <w:highlight w:val="none"/>
        </w:rPr>
        <w:t>万元、政府采购工程</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万元、政府采购服务</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万元。</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3、国有资产占有情况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截至</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年12月31日，本部门共有车辆</w:t>
      </w:r>
      <w:r>
        <w:rPr>
          <w:rFonts w:hint="eastAsia" w:ascii="宋体" w:hAnsi="宋体" w:eastAsia="仿宋_GB2312" w:cs="Times New Roman"/>
          <w:sz w:val="32"/>
          <w:szCs w:val="32"/>
          <w:highlight w:val="none"/>
          <w:lang w:val="en-US" w:eastAsia="zh-CN"/>
        </w:rPr>
        <w:t>1</w:t>
      </w:r>
      <w:r>
        <w:rPr>
          <w:rFonts w:hint="eastAsia" w:ascii="宋体" w:hAnsi="宋体" w:eastAsia="仿宋_GB2312" w:cs="Times New Roman"/>
          <w:sz w:val="32"/>
          <w:szCs w:val="32"/>
          <w:highlight w:val="none"/>
        </w:rPr>
        <w:t>辆，其中，主要领导干部用车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辆、机要通信用车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辆、应急保障用车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辆、执法执勤用车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辆、特种专业技术用车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辆、离退休干部用车</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辆、其他用车</w:t>
      </w:r>
      <w:r>
        <w:rPr>
          <w:rFonts w:hint="eastAsia" w:ascii="宋体" w:hAnsi="宋体" w:eastAsia="仿宋_GB2312" w:cs="Times New Roman"/>
          <w:sz w:val="32"/>
          <w:szCs w:val="32"/>
          <w:highlight w:val="none"/>
          <w:lang w:val="en-US" w:eastAsia="zh-CN"/>
        </w:rPr>
        <w:t>1</w:t>
      </w:r>
      <w:r>
        <w:rPr>
          <w:rFonts w:hint="eastAsia" w:ascii="宋体" w:hAnsi="宋体" w:eastAsia="仿宋_GB2312" w:cs="Times New Roman"/>
          <w:sz w:val="32"/>
          <w:szCs w:val="32"/>
          <w:highlight w:val="none"/>
        </w:rPr>
        <w:t>辆， 单价50万元（含）以上的通用设备</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台（套）， 单价100万元（含）以上专用设备</w:t>
      </w:r>
      <w:r>
        <w:rPr>
          <w:rFonts w:hint="eastAsia" w:ascii="宋体" w:hAnsi="宋体" w:eastAsia="仿宋_GB2312" w:cs="Times New Roman"/>
          <w:sz w:val="32"/>
          <w:szCs w:val="32"/>
          <w:highlight w:val="none"/>
          <w:lang w:val="en-US" w:eastAsia="zh-CN"/>
        </w:rPr>
        <w:t>0</w:t>
      </w:r>
      <w:r>
        <w:rPr>
          <w:rFonts w:hint="eastAsia" w:ascii="宋体" w:hAnsi="宋体" w:eastAsia="仿宋_GB2312" w:cs="Times New Roman"/>
          <w:sz w:val="32"/>
          <w:szCs w:val="32"/>
          <w:highlight w:val="none"/>
        </w:rPr>
        <w:t>台（套）。</w:t>
      </w:r>
    </w:p>
    <w:p>
      <w:pPr>
        <w:numPr>
          <w:ilvl w:val="0"/>
          <w:numId w:val="5"/>
        </w:num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绩效管理情况</w:t>
      </w:r>
    </w:p>
    <w:p>
      <w:pPr>
        <w:rPr>
          <w:rFonts w:ascii="仿宋_GB2312" w:hAnsi="仿宋_GB2312" w:eastAsia="仿宋_GB2312" w:cs="仿宋_GB2312"/>
          <w:color w:val="000000"/>
          <w:kern w:val="0"/>
          <w:sz w:val="31"/>
          <w:szCs w:val="31"/>
          <w:highlight w:val="none"/>
        </w:rPr>
      </w:pPr>
      <w:r>
        <w:rPr>
          <w:rFonts w:hint="eastAsia" w:ascii="宋体" w:hAnsi="宋体" w:eastAsia="仿宋_GB2312" w:cs="Times New Roman"/>
          <w:sz w:val="32"/>
          <w:szCs w:val="32"/>
          <w:highlight w:val="none"/>
          <w:lang w:val="en-US" w:eastAsia="zh-CN"/>
        </w:rPr>
        <w:t>2021年</w:t>
      </w:r>
      <w:bookmarkStart w:id="22" w:name="_GoBack"/>
      <w:bookmarkEnd w:id="22"/>
      <w:r>
        <w:rPr>
          <w:rFonts w:hint="eastAsia" w:ascii="宋体" w:hAnsi="宋体" w:eastAsia="仿宋_GB2312" w:cs="Times New Roman"/>
          <w:sz w:val="32"/>
          <w:szCs w:val="32"/>
          <w:highlight w:val="none"/>
          <w:lang w:val="en-US" w:eastAsia="zh-CN"/>
        </w:rPr>
        <w:t>我单位未开展绩效管理目标工作。</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5.政府购买服务指导性目录。</w:t>
      </w:r>
    </w:p>
    <w:p>
      <w:pPr>
        <w:spacing w:line="204" w:lineRule="auto"/>
        <w:ind w:firstLine="656" w:firstLineChars="200"/>
        <w:jc w:val="left"/>
        <w:rPr>
          <w:rFonts w:ascii="仿宋" w:hAnsi="仿宋" w:eastAsia="仿宋" w:cs="仿宋"/>
          <w:spacing w:val="4"/>
          <w:sz w:val="32"/>
          <w:szCs w:val="32"/>
          <w:highlight w:val="none"/>
        </w:rPr>
      </w:pPr>
      <w:r>
        <w:rPr>
          <w:rFonts w:hint="eastAsia" w:ascii="仿宋" w:hAnsi="仿宋" w:eastAsia="仿宋" w:cs="仿宋"/>
          <w:spacing w:val="4"/>
          <w:sz w:val="32"/>
          <w:szCs w:val="32"/>
          <w:highlight w:val="none"/>
        </w:rPr>
        <w:t>无</w:t>
      </w:r>
    </w:p>
    <w:p>
      <w:pPr>
        <w:ind w:firstLine="2808" w:firstLineChars="900"/>
        <w:outlineLvl w:val="0"/>
        <w:rPr>
          <w:rFonts w:ascii="黑体" w:hAnsi="黑体" w:eastAsia="黑体" w:cs="黑体"/>
          <w:snapToGrid w:val="0"/>
          <w:spacing w:val="-4"/>
          <w:kern w:val="0"/>
          <w:sz w:val="32"/>
          <w:szCs w:val="32"/>
          <w:highlight w:val="none"/>
        </w:rPr>
      </w:pPr>
      <w:bookmarkStart w:id="20" w:name="_Toc32537"/>
      <w:bookmarkStart w:id="21" w:name="_Toc8549_WPSOffice_Level1"/>
      <w:r>
        <w:rPr>
          <w:rFonts w:hint="eastAsia" w:ascii="黑体" w:hAnsi="黑体" w:eastAsia="黑体" w:cs="黑体"/>
          <w:snapToGrid w:val="0"/>
          <w:spacing w:val="-4"/>
          <w:kern w:val="0"/>
          <w:sz w:val="32"/>
          <w:szCs w:val="32"/>
          <w:highlight w:val="none"/>
        </w:rPr>
        <w:t xml:space="preserve">第四部分 </w:t>
      </w:r>
      <w:r>
        <w:rPr>
          <w:rFonts w:ascii="黑体" w:hAnsi="黑体" w:eastAsia="黑体" w:cs="黑体"/>
          <w:snapToGrid w:val="0"/>
          <w:spacing w:val="-4"/>
          <w:kern w:val="0"/>
          <w:sz w:val="32"/>
          <w:szCs w:val="32"/>
          <w:highlight w:val="none"/>
        </w:rPr>
        <w:t>名词解释</w:t>
      </w:r>
      <w:bookmarkEnd w:id="20"/>
      <w:bookmarkEnd w:id="21"/>
    </w:p>
    <w:p>
      <w:pPr>
        <w:spacing w:line="204" w:lineRule="auto"/>
        <w:jc w:val="left"/>
        <w:rPr>
          <w:rFonts w:ascii="仿宋" w:hAnsi="仿宋" w:eastAsia="仿宋" w:cs="仿宋"/>
          <w:spacing w:val="4"/>
          <w:sz w:val="32"/>
          <w:szCs w:val="32"/>
          <w:highlight w:val="none"/>
        </w:rPr>
      </w:pPr>
      <w:r>
        <w:rPr>
          <w:rFonts w:hint="eastAsia" w:ascii="仿宋" w:hAnsi="仿宋" w:eastAsia="仿宋" w:cs="仿宋"/>
          <w:b/>
          <w:bCs/>
          <w:spacing w:val="4"/>
          <w:sz w:val="32"/>
          <w:szCs w:val="32"/>
          <w:highlight w:val="none"/>
        </w:rPr>
        <w:t>财政拨款收入</w:t>
      </w:r>
      <w:r>
        <w:rPr>
          <w:rFonts w:hint="eastAsia" w:ascii="仿宋" w:hAnsi="仿宋" w:eastAsia="仿宋" w:cs="仿宋"/>
          <w:spacing w:val="4"/>
          <w:sz w:val="32"/>
          <w:szCs w:val="32"/>
          <w:highlight w:val="none"/>
        </w:rPr>
        <w:t>:指同级财政当年拨付的资金。</w:t>
      </w:r>
    </w:p>
    <w:p>
      <w:pPr>
        <w:spacing w:line="204" w:lineRule="auto"/>
        <w:jc w:val="left"/>
        <w:rPr>
          <w:rFonts w:ascii="仿宋" w:hAnsi="仿宋" w:eastAsia="仿宋" w:cs="仿宋"/>
          <w:spacing w:val="4"/>
          <w:sz w:val="32"/>
          <w:szCs w:val="32"/>
          <w:highlight w:val="none"/>
        </w:rPr>
      </w:pPr>
      <w:r>
        <w:rPr>
          <w:rFonts w:hint="eastAsia" w:ascii="仿宋" w:hAnsi="仿宋" w:eastAsia="仿宋" w:cs="仿宋"/>
          <w:b/>
          <w:bCs/>
          <w:spacing w:val="4"/>
          <w:sz w:val="32"/>
          <w:szCs w:val="32"/>
          <w:highlight w:val="none"/>
        </w:rPr>
        <w:t>上级补助收入</w:t>
      </w:r>
      <w:r>
        <w:rPr>
          <w:rFonts w:hint="eastAsia" w:ascii="仿宋" w:hAnsi="仿宋" w:eastAsia="仿宋" w:cs="仿宋"/>
          <w:spacing w:val="4"/>
          <w:sz w:val="32"/>
          <w:szCs w:val="32"/>
          <w:highlight w:val="none"/>
        </w:rPr>
        <w:t>:指事业单位从主管部门和上级单位取得的非财政补助收入。</w:t>
      </w:r>
    </w:p>
    <w:p>
      <w:pPr>
        <w:spacing w:line="204" w:lineRule="auto"/>
        <w:jc w:val="left"/>
        <w:rPr>
          <w:rFonts w:ascii="仿宋" w:hAnsi="仿宋" w:eastAsia="仿宋" w:cs="仿宋"/>
          <w:spacing w:val="4"/>
          <w:sz w:val="32"/>
          <w:szCs w:val="32"/>
          <w:highlight w:val="none"/>
        </w:rPr>
      </w:pPr>
      <w:r>
        <w:rPr>
          <w:rFonts w:hint="eastAsia" w:ascii="仿宋" w:hAnsi="仿宋" w:eastAsia="仿宋" w:cs="仿宋"/>
          <w:b/>
          <w:bCs/>
          <w:spacing w:val="4"/>
          <w:sz w:val="32"/>
          <w:szCs w:val="32"/>
          <w:highlight w:val="none"/>
        </w:rPr>
        <w:t>事业收入</w:t>
      </w:r>
      <w:r>
        <w:rPr>
          <w:rFonts w:hint="eastAsia" w:ascii="仿宋" w:hAnsi="仿宋" w:eastAsia="仿宋" w:cs="仿宋"/>
          <w:spacing w:val="4"/>
          <w:sz w:val="32"/>
          <w:szCs w:val="32"/>
          <w:highlight w:val="none"/>
        </w:rPr>
        <w:t>:指事业单位开展专业业务活动及其辅助活动所取得的收入。</w:t>
      </w:r>
    </w:p>
    <w:p>
      <w:pPr>
        <w:spacing w:line="204" w:lineRule="auto"/>
        <w:jc w:val="left"/>
        <w:rPr>
          <w:rFonts w:ascii="仿宋" w:hAnsi="仿宋" w:eastAsia="仿宋" w:cs="仿宋"/>
          <w:spacing w:val="4"/>
          <w:sz w:val="32"/>
          <w:szCs w:val="32"/>
          <w:highlight w:val="none"/>
        </w:rPr>
      </w:pPr>
      <w:r>
        <w:rPr>
          <w:rFonts w:hint="eastAsia" w:ascii="仿宋" w:hAnsi="仿宋" w:eastAsia="仿宋" w:cs="仿宋"/>
          <w:b/>
          <w:bCs/>
          <w:spacing w:val="4"/>
          <w:sz w:val="32"/>
          <w:szCs w:val="32"/>
          <w:highlight w:val="none"/>
        </w:rPr>
        <w:t>经营收入</w:t>
      </w:r>
      <w:r>
        <w:rPr>
          <w:rFonts w:hint="eastAsia" w:ascii="仿宋" w:hAnsi="仿宋" w:eastAsia="仿宋" w:cs="仿宋"/>
          <w:spacing w:val="4"/>
          <w:sz w:val="32"/>
          <w:szCs w:val="32"/>
          <w:highlight w:val="none"/>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highlight w:val="none"/>
        </w:rPr>
      </w:pPr>
      <w:r>
        <w:rPr>
          <w:rFonts w:hint="eastAsia" w:ascii="仿宋" w:hAnsi="仿宋" w:eastAsia="仿宋" w:cs="仿宋"/>
          <w:b/>
          <w:bCs/>
          <w:spacing w:val="4"/>
          <w:sz w:val="32"/>
          <w:szCs w:val="32"/>
          <w:highlight w:val="none"/>
        </w:rPr>
        <w:t>附属单位缴款</w:t>
      </w:r>
      <w:r>
        <w:rPr>
          <w:rFonts w:hint="eastAsia" w:ascii="仿宋" w:hAnsi="仿宋" w:eastAsia="仿宋" w:cs="仿宋"/>
          <w:spacing w:val="4"/>
          <w:sz w:val="32"/>
          <w:szCs w:val="32"/>
          <w:highlight w:val="none"/>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highlight w:val="none"/>
        </w:rPr>
        <w:t>其他收入</w:t>
      </w:r>
      <w:r>
        <w:rPr>
          <w:rFonts w:hint="eastAsia" w:ascii="仿宋" w:hAnsi="仿宋" w:eastAsia="仿宋" w:cs="仿宋"/>
          <w:spacing w:val="4"/>
          <w:sz w:val="32"/>
          <w:szCs w:val="32"/>
          <w:highlight w:val="none"/>
        </w:rPr>
        <w:t>:指除上述“财政拨款收入”、“事业收入”、“经营收入”、“附属单位缴款”等之外取得的收入</w:t>
      </w:r>
      <w:r>
        <w:rPr>
          <w:rFonts w:hint="eastAsia" w:ascii="仿宋" w:hAnsi="仿宋" w:eastAsia="仿宋" w:cs="仿宋"/>
          <w:spacing w:val="4"/>
          <w:sz w:val="32"/>
          <w:szCs w:val="32"/>
        </w:rPr>
        <w:t>。</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5F08F4"/>
    <w:multiLevelType w:val="singleLevel"/>
    <w:tmpl w:val="F15F08F4"/>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YjgzNTdkYWM1YzZjMWM3YjJkYzZkYTViN2Q4MjMifQ=="/>
  </w:docVars>
  <w:rsids>
    <w:rsidRoot w:val="00172A27"/>
    <w:rsid w:val="000014A7"/>
    <w:rsid w:val="00052B5B"/>
    <w:rsid w:val="00774AFB"/>
    <w:rsid w:val="00E4217F"/>
    <w:rsid w:val="017D4F5C"/>
    <w:rsid w:val="01E375CE"/>
    <w:rsid w:val="048712C3"/>
    <w:rsid w:val="063E5280"/>
    <w:rsid w:val="0A8275B5"/>
    <w:rsid w:val="0B115715"/>
    <w:rsid w:val="0B761534"/>
    <w:rsid w:val="0B884C29"/>
    <w:rsid w:val="0B8F1CD0"/>
    <w:rsid w:val="0E115DFD"/>
    <w:rsid w:val="10F47133"/>
    <w:rsid w:val="11D27EAE"/>
    <w:rsid w:val="11D37112"/>
    <w:rsid w:val="14E621E4"/>
    <w:rsid w:val="1ACE23F6"/>
    <w:rsid w:val="1E307A0B"/>
    <w:rsid w:val="1E8E65A1"/>
    <w:rsid w:val="1EF455FD"/>
    <w:rsid w:val="20D97C1B"/>
    <w:rsid w:val="20F76D67"/>
    <w:rsid w:val="2333519E"/>
    <w:rsid w:val="23553F43"/>
    <w:rsid w:val="239C12BD"/>
    <w:rsid w:val="299664C8"/>
    <w:rsid w:val="29C8535D"/>
    <w:rsid w:val="2ACD0F1D"/>
    <w:rsid w:val="2D744C47"/>
    <w:rsid w:val="31AB706B"/>
    <w:rsid w:val="32974174"/>
    <w:rsid w:val="35A4201B"/>
    <w:rsid w:val="38B44A00"/>
    <w:rsid w:val="3A8A7486"/>
    <w:rsid w:val="3D073047"/>
    <w:rsid w:val="3DED1419"/>
    <w:rsid w:val="3F28132A"/>
    <w:rsid w:val="3F67605B"/>
    <w:rsid w:val="3FF12211"/>
    <w:rsid w:val="448F419A"/>
    <w:rsid w:val="45252F0E"/>
    <w:rsid w:val="49221B6F"/>
    <w:rsid w:val="4B69018F"/>
    <w:rsid w:val="4C207F8B"/>
    <w:rsid w:val="517D00AC"/>
    <w:rsid w:val="562A177D"/>
    <w:rsid w:val="5A250E62"/>
    <w:rsid w:val="5AEB4658"/>
    <w:rsid w:val="5BFD2F30"/>
    <w:rsid w:val="5F627D76"/>
    <w:rsid w:val="5F6830E6"/>
    <w:rsid w:val="624D53FA"/>
    <w:rsid w:val="64607E64"/>
    <w:rsid w:val="6544153D"/>
    <w:rsid w:val="655E5F00"/>
    <w:rsid w:val="683F57E5"/>
    <w:rsid w:val="68CD37BD"/>
    <w:rsid w:val="6BDF510D"/>
    <w:rsid w:val="6C8204B2"/>
    <w:rsid w:val="6C940C35"/>
    <w:rsid w:val="6D9D671B"/>
    <w:rsid w:val="6E242FBE"/>
    <w:rsid w:val="70BB0F08"/>
    <w:rsid w:val="71717BA7"/>
    <w:rsid w:val="73564E97"/>
    <w:rsid w:val="789A10A8"/>
    <w:rsid w:val="797445F1"/>
    <w:rsid w:val="7A7070D5"/>
    <w:rsid w:val="7CF227F7"/>
    <w:rsid w:val="7D56409F"/>
    <w:rsid w:val="7E3F0B7D"/>
    <w:rsid w:val="7F15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5972</Words>
  <Characters>7334</Characters>
  <Lines>5</Lines>
  <Paragraphs>7</Paragraphs>
  <TotalTime>45</TotalTime>
  <ScaleCrop>false</ScaleCrop>
  <LinksUpToDate>false</LinksUpToDate>
  <CharactersWithSpaces>7625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2022-10-20T15:18:27Z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4AD833285D944CBCB0787254EA4AB127</vt:lpwstr>
  </property>
</Properties>
</file>