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lang w:val="en-US" w:eastAsia="zh-CN"/>
        </w:rPr>
        <w:t>中国共产党朔州市朔城区委员会宣传部</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hint="eastAsia" w:ascii="宋体" w:hAnsi="宋体" w:eastAsia="宋体" w:cs="宋体"/>
          <w:spacing w:val="-3"/>
          <w:kern w:val="0"/>
          <w:sz w:val="30"/>
          <w:szCs w:val="30"/>
          <w:lang w:val="en-US" w:eastAsia="zh-CN" w:bidi="ar-SA"/>
        </w:rPr>
      </w:pPr>
      <w:bookmarkStart w:id="2" w:name="_Toc7430_WPSOffice_Level1"/>
      <w:r>
        <w:rPr>
          <w:rFonts w:hint="eastAsia" w:ascii="仿宋" w:hAnsi="仿宋" w:eastAsia="仿宋" w:cs="仿宋"/>
          <w:sz w:val="32"/>
          <w:szCs w:val="32"/>
        </w:rPr>
        <w:t>主要职能职责</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1、负责组织、指导全区理论研究、理论学习、理论宣传和社会科学规划的工作，做好党员教育工作。</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2、负责规划、部署全区性的宣传思想工作，会同有关部门研究和改进基层宣传思想工作；负责指导、协调和组织全区会宣传工作。</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3、负责引导社会舆论，指导、监督、管理和协调全区新闻宣传工作；负责指导、监督和管理全县网络新闻宣传；负责监控、上报、引导全区网络舆情工作。</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4、负责全区对外宣传工作的总体规划，组织协调、指导和管理全区的外宣工作。</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5、负责从宏观上指导文化艺术工作、精神产品的生产和文化市场的管理，对区文化和旅游局、区广电服务中心、区文联从政治方向和方针政策方面实施领导，协调宣传文化系统各部门之间的工作；配合区政府有关部门指导、协调宣传文化事业和文化产业发展。</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6、负责全区群众性精神文明创建工作的规划和组织实施；协调、指导和监督全区文明城市、行业、村镇、社区、未成年人思想道德建设等各类群众性精神文明创建活动。</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lang w:val="en-US" w:eastAsia="zh-CN"/>
        </w:rPr>
        <w:t xml:space="preserve">7、完成区委交办的其它任务。                          </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本单位内设 5个科室，下属2个单位，区新时文明实践指导中心、区网信事务中心。从预算单位构成看，区委宣传部门决算包括：本级决算和区新时文明实践指导中心、区网信事务中心决算。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1162.82</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1162.82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345.42</w:t>
      </w:r>
      <w:r>
        <w:rPr>
          <w:rFonts w:hint="eastAsia" w:ascii="宋体" w:hAnsi="宋体" w:eastAsia="仿宋_GB2312" w:cs="Times New Roman"/>
          <w:sz w:val="32"/>
          <w:szCs w:val="32"/>
        </w:rPr>
        <w:t>万元，支出总计减少</w:t>
      </w:r>
      <w:r>
        <w:rPr>
          <w:rFonts w:ascii="仿宋" w:hAnsi="仿宋" w:eastAsia="仿宋" w:cs="仿宋"/>
          <w:spacing w:val="-34"/>
          <w:sz w:val="32"/>
          <w:szCs w:val="32"/>
        </w:rPr>
        <w:t xml:space="preserve"> </w:t>
      </w:r>
      <w:r>
        <w:rPr>
          <w:rFonts w:hint="eastAsia" w:ascii="宋体" w:hAnsi="宋体" w:eastAsia="仿宋_GB2312" w:cs="Times New Roman"/>
          <w:sz w:val="32"/>
          <w:szCs w:val="32"/>
          <w:lang w:val="en-US" w:eastAsia="zh-CN"/>
        </w:rPr>
        <w:t>345.42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2021年减少融媒体中心建设资金316万元。</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1162.81</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1162.81</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1162.82</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216.46</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946.36</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default" w:ascii="宋体" w:hAnsi="宋体" w:eastAsia="仿宋_GB2312" w:cs="Times New Roman"/>
          <w:sz w:val="32"/>
          <w:szCs w:val="32"/>
          <w:lang w:val="en-US" w:eastAsia="zh-CN"/>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1162.81</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1162.81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ascii="仿宋" w:hAnsi="仿宋" w:eastAsia="仿宋" w:cs="仿宋"/>
          <w:spacing w:val="-34"/>
          <w:sz w:val="32"/>
          <w:szCs w:val="32"/>
        </w:rPr>
        <w:t xml:space="preserve"> </w:t>
      </w:r>
      <w:r>
        <w:rPr>
          <w:rFonts w:hint="eastAsia" w:ascii="仿宋" w:hAnsi="仿宋" w:eastAsia="仿宋" w:cs="仿宋"/>
          <w:spacing w:val="2"/>
          <w:sz w:val="32"/>
          <w:szCs w:val="32"/>
          <w:lang w:val="en-US" w:eastAsia="zh-CN"/>
        </w:rPr>
        <w:t>345.43</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22.90</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2021年减少融媒体中心建设资金316万元。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1162.81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ascii="仿宋" w:hAnsi="仿宋" w:eastAsia="仿宋" w:cs="仿宋"/>
          <w:spacing w:val="-34"/>
          <w:sz w:val="32"/>
          <w:szCs w:val="32"/>
        </w:rPr>
        <w:t xml:space="preserve"> </w:t>
      </w:r>
      <w:r>
        <w:rPr>
          <w:rFonts w:hint="eastAsia" w:ascii="仿宋" w:hAnsi="仿宋" w:eastAsia="仿宋" w:cs="仿宋"/>
          <w:spacing w:val="2"/>
          <w:sz w:val="32"/>
          <w:szCs w:val="32"/>
          <w:lang w:val="en-US" w:eastAsia="zh-CN"/>
        </w:rPr>
        <w:t>325.42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2021年减少融媒体中心建设资金316万元。</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1162.81</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2013301行政运行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405.73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34.89</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2013302一般行政管理事务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517.33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44.49</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2013399其他宣传事务支出153.12万元，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13.17</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；2079902宣传文化发展专项</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19.26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1.66</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2079903文化产业发展专项支出20万元，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1.72</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；2079999其他文化旅游体育与传媒支出41.22万元，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3.54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；2299999其他支出6.15万元，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0.53</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1162.81</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1162.81</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216.44</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198.29</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196.66</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1.64</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18.15</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18.15</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9131_WPSOffice_Level2"/>
      <w:bookmarkStart w:id="19" w:name="_Toc10214_WPSOffice_Level2"/>
      <w:r>
        <w:rPr>
          <w:rFonts w:hint="eastAsia" w:ascii="宋体" w:hAnsi="宋体" w:eastAsia="仿宋_GB2312" w:cs="Times New Roman"/>
          <w:sz w:val="32"/>
          <w:szCs w:val="32"/>
          <w:lang w:eastAsia="zh-CN"/>
        </w:rPr>
        <w:t>本年度无三公经费预算</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18.15</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853.62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2020年统计错误，把项目经费包含其中</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9.99</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9.99</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ind w:firstLine="640" w:firstLineChars="200"/>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rPr>
        <w:t>包括</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14</w:t>
      </w:r>
      <w:r>
        <w:rPr>
          <w:rFonts w:hint="eastAsia" w:ascii="宋体" w:hAnsi="宋体" w:eastAsia="仿宋_GB2312" w:cs="Times New Roman"/>
          <w:sz w:val="32"/>
          <w:szCs w:val="32"/>
        </w:rPr>
        <w:t>个</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庆祝建党100周年群众文化活动暨第三届马邑文化旅游季（老城四八庙会）系列活动</w:t>
      </w:r>
      <w:r>
        <w:rPr>
          <w:rFonts w:hint="eastAsia" w:ascii="宋体" w:hAnsi="宋体" w:eastAsia="仿宋_GB2312" w:cs="Times New Roman"/>
          <w:sz w:val="32"/>
          <w:szCs w:val="32"/>
          <w:lang w:val="en-US" w:eastAsia="zh-CN"/>
        </w:rPr>
        <w:t>项目100万元；朔城区新闻频道运行项目230万元；党史学习教育项目60万元；新增人员社保费用项目5万元；宣传运行专项经费项目190万元；区直机关事业单位党报党刊统一征订项目130万元；新闻专业相机采购项目10万元；大秧歌剧团办公场所改造项目80万元；中央支持地方补助资金新时代文明实践中心建设项目10.47万元；省级新时代文明实践中心试点建设资金10万元；朔州市文化旅游电商直播产业基地项目20万元；省级补助地方农家书屋建设专项资金项目12万元；中央补助地方农家书屋建设专项资金项目30万元；宣传部2020年考核奖6.15万元。</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893.62</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widowControl/>
        <w:ind w:firstLine="620" w:firstLineChars="200"/>
        <w:jc w:val="left"/>
        <w:rPr>
          <w:rFonts w:hint="default" w:ascii="仿宋_GB2312" w:hAnsi="仿宋_GB2312" w:eastAsia="仿宋_GB2312" w:cs="仿宋_GB2312"/>
          <w:color w:val="000000"/>
          <w:kern w:val="0"/>
          <w:sz w:val="31"/>
          <w:szCs w:val="31"/>
          <w:lang w:val="en-US" w:eastAsia="zh-CN"/>
        </w:rPr>
      </w:pPr>
      <w:bookmarkStart w:id="22" w:name="_GoBack"/>
      <w:r>
        <w:rPr>
          <w:rFonts w:hint="eastAsia" w:ascii="仿宋_GB2312" w:hAnsi="仿宋_GB2312" w:eastAsia="仿宋_GB2312" w:cs="仿宋_GB2312"/>
          <w:color w:val="000000"/>
          <w:kern w:val="0"/>
          <w:sz w:val="31"/>
          <w:szCs w:val="31"/>
          <w:lang w:val="en-US" w:eastAsia="zh-CN"/>
        </w:rPr>
        <w:t>我部门通过开展项目绩效评价工作，进一步健全和完善财务管理制度和内部控制制度，用新思路、新制度、新方法改进完善财务管理，用制度管项目，用制度管资金，财政资金配置效率和使用效率不断调高，预算绩效管理工作取得初步成效。</w:t>
      </w:r>
    </w:p>
    <w:bookmarkEnd w:id="22"/>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MGU3NGE3MTM2MTYzNWRmZWEwMzNjNzI5MjRiMmEifQ=="/>
  </w:docVars>
  <w:rsids>
    <w:rsidRoot w:val="7E3F0B7D"/>
    <w:rsid w:val="000014A7"/>
    <w:rsid w:val="00052B5B"/>
    <w:rsid w:val="00774AFB"/>
    <w:rsid w:val="00E4217F"/>
    <w:rsid w:val="0E115DFD"/>
    <w:rsid w:val="11D27EAE"/>
    <w:rsid w:val="20D97C1B"/>
    <w:rsid w:val="23553F43"/>
    <w:rsid w:val="299664C8"/>
    <w:rsid w:val="2A8304F0"/>
    <w:rsid w:val="32B42FD3"/>
    <w:rsid w:val="32DB7792"/>
    <w:rsid w:val="3459709D"/>
    <w:rsid w:val="39494B8E"/>
    <w:rsid w:val="3F28132A"/>
    <w:rsid w:val="49221B6F"/>
    <w:rsid w:val="6249755A"/>
    <w:rsid w:val="6544153D"/>
    <w:rsid w:val="68CD37BD"/>
    <w:rsid w:val="6C940C35"/>
    <w:rsid w:val="71DE609F"/>
    <w:rsid w:val="7E3F0B7D"/>
    <w:rsid w:val="7EC71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3118</Words>
  <Characters>3416</Characters>
  <Lines>5</Lines>
  <Paragraphs>7</Paragraphs>
  <TotalTime>2</TotalTime>
  <ScaleCrop>false</ScaleCrop>
  <LinksUpToDate>false</LinksUpToDate>
  <CharactersWithSpaces>3499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2022-09-14T03:04:16Z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A9D90C52182E42D6AB7F8F501D111FFE</vt:lpwstr>
  </property>
</Properties>
</file>