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pacing w:val="-20"/>
          <w:sz w:val="44"/>
          <w:szCs w:val="44"/>
          <w:lang w:eastAsia="zh-CN"/>
        </w:rPr>
        <w:t>中国共产党朔州市朔城区委员会政法委员会</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、根据党中央的路线、方针、政策以及党委和政府的决策和部署，统一政法部门的思想和行动；</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、对全区的政法工作做出全局性部署，并督促贯彻落实；</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、组织、协调和指导全区维护社会稳定工作；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、检查政法部门执行法律、法规和方针、政策的情况。结合全区实际研究制定严肃执法、落实党的方针政策的具体措施；</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、监督和支持政法各部门依法行使职权，指导和协调政法各部门在依法相互制约的同时密切配合，督促和推动大案、要案的查处工作。</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、组织协调全区的社会治安综合治理工作，推动各项措施的落实；</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、组织推动政法战线的调查研究工作，总结新经验，解决新问题，探索政法工作的改革；</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、研究加强政法队伍建设和领导班子建设的措施，协助组织部门考察管理同级政法部门的领导干部；</w:t>
      </w:r>
    </w:p>
    <w:p>
      <w:pPr>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、指导全区各部门、各单位综治办事机构的工作；</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、办理区委和上级政法委员会交办的其它事项。</w:t>
      </w:r>
      <w:r>
        <w:rPr>
          <w:rFonts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sz w:val="32"/>
          <w:szCs w:val="32"/>
        </w:rPr>
        <w:t>本单位内设</w:t>
      </w:r>
      <w:r>
        <w:rPr>
          <w:rFonts w:ascii="宋体" w:hAnsi="宋体" w:eastAsia="仿宋_GB2312"/>
          <w:sz w:val="32"/>
          <w:szCs w:val="32"/>
        </w:rPr>
        <w:t>7</w:t>
      </w:r>
      <w:r>
        <w:rPr>
          <w:rFonts w:hint="eastAsia" w:ascii="宋体" w:hAnsi="宋体" w:eastAsia="仿宋_GB2312"/>
          <w:sz w:val="32"/>
          <w:szCs w:val="32"/>
        </w:rPr>
        <w:t>个科室，下属</w:t>
      </w:r>
      <w:r>
        <w:rPr>
          <w:rFonts w:ascii="宋体" w:hAnsi="宋体" w:eastAsia="仿宋_GB2312"/>
          <w:sz w:val="32"/>
          <w:szCs w:val="32"/>
        </w:rPr>
        <w:t>2</w:t>
      </w:r>
      <w:r>
        <w:rPr>
          <w:rFonts w:hint="eastAsia" w:ascii="宋体" w:hAnsi="宋体" w:eastAsia="仿宋_GB2312"/>
          <w:sz w:val="32"/>
          <w:szCs w:val="32"/>
        </w:rPr>
        <w:t>个事业单位：区综治中心、区法学会。从预算单位构成看，区委政法委部门决算包括：本级决算。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1753.73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1753.73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11.87</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11.87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普调增资。</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278.78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1474.95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1753.73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11.87</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0.68</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普调增资。</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11.87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普调增资。</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 w:cs="仿宋"/>
          <w:sz w:val="32"/>
          <w:szCs w:val="32"/>
          <w:lang w:val="en-US"/>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2013101行政运行748.07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42.66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2013105专项业务10万元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0.57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2040201行政运行549.50万元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31.33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2040299其他公安支出291万元，占16.59%；2040401行政运行70万元，占3.99%；2040602一般行政管理事务49万元，占2.79%；2100410突发公共卫生事件应急处理28万元，占1.60%；2299999其他支出8.17万元，占0.47%。</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1753.73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1753.73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278.78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213.85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206.33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7.52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64.93</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58.93</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19.57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0.43万元，原因是节省</w:t>
      </w:r>
      <w:r>
        <w:rPr>
          <w:rFonts w:hint="eastAsia" w:ascii="宋体" w:hAnsi="宋体" w:eastAsia="仿宋_GB2312" w:cs="Times New Roman"/>
          <w:sz w:val="32"/>
          <w:szCs w:val="32"/>
          <w:lang w:eastAsia="zh-CN"/>
        </w:rPr>
        <w:t>公车购置费；</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19.57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购置公车一辆</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19.57</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19.57</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购置公车一辆。</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64.93</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174.08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72.83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统计口径不一致，</w:t>
      </w:r>
      <w:r>
        <w:rPr>
          <w:rFonts w:hint="eastAsia" w:ascii="宋体" w:hAnsi="宋体" w:eastAsia="仿宋_GB2312" w:cs="Times New Roman"/>
          <w:sz w:val="32"/>
          <w:szCs w:val="32"/>
          <w:lang w:val="en-US" w:eastAsia="zh-CN"/>
        </w:rPr>
        <w:t>2020年项目款列入机关运行经费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35.35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35.35</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未开展绩效</w:t>
      </w:r>
      <w:r>
        <w:rPr>
          <w:rFonts w:hint="eastAsia" w:ascii="宋体" w:hAnsi="宋体" w:eastAsia="仿宋_GB2312" w:cs="Times New Roman"/>
          <w:sz w:val="32"/>
          <w:szCs w:val="32"/>
          <w:lang w:eastAsia="zh-CN"/>
        </w:rPr>
        <w:t>评价。</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7C7370C"/>
    <w:rsid w:val="0E115DFD"/>
    <w:rsid w:val="11D27EAE"/>
    <w:rsid w:val="1C1B269E"/>
    <w:rsid w:val="20D97C1B"/>
    <w:rsid w:val="23553F43"/>
    <w:rsid w:val="299664C8"/>
    <w:rsid w:val="2D1A10E5"/>
    <w:rsid w:val="3F28132A"/>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4</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2022-09-23T01:55:20Z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