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sz w:val="48"/>
          <w:szCs w:val="48"/>
          <w:lang w:val="en-US" w:eastAsia="zh-CN"/>
        </w:rPr>
      </w:pPr>
    </w:p>
    <w:p>
      <w:pPr>
        <w:jc w:val="center"/>
        <w:rPr>
          <w:rFonts w:ascii="黑体" w:eastAsia="黑体"/>
          <w:sz w:val="36"/>
          <w:szCs w:val="36"/>
        </w:rPr>
      </w:pPr>
      <w:r>
        <w:rPr>
          <w:rFonts w:hint="eastAsia" w:ascii="黑体" w:eastAsia="黑体"/>
          <w:sz w:val="36"/>
          <w:szCs w:val="36"/>
          <w:highlight w:val="none"/>
          <w:lang w:val="en-US" w:eastAsia="zh-CN"/>
        </w:rPr>
        <w:t>中国共产党朔州市朔城区委员会统一战线工作部</w:t>
      </w:r>
      <w:r>
        <w:rPr>
          <w:rFonts w:hint="eastAsia" w:ascii="黑体" w:eastAsia="黑体"/>
          <w:sz w:val="36"/>
          <w:szCs w:val="36"/>
        </w:rPr>
        <w:t>202</w:t>
      </w:r>
      <w:r>
        <w:rPr>
          <w:rFonts w:hint="eastAsia" w:ascii="黑体" w:eastAsia="黑体"/>
          <w:sz w:val="36"/>
          <w:szCs w:val="36"/>
          <w:lang w:val="en-US" w:eastAsia="zh-CN"/>
        </w:rPr>
        <w:t>1</w:t>
      </w:r>
      <w:r>
        <w:rPr>
          <w:rFonts w:hint="eastAsia" w:ascii="黑体" w:eastAsia="黑体"/>
          <w:sz w:val="36"/>
          <w:szCs w:val="36"/>
        </w:rPr>
        <w:t>年部门决算公开情况说明</w:t>
      </w:r>
    </w:p>
    <w:p>
      <w:pPr>
        <w:spacing w:line="360" w:lineRule="auto"/>
        <w:jc w:val="center"/>
        <w:rPr>
          <w:rFonts w:ascii="宋体" w:hAnsi="宋体" w:cs="宋体"/>
          <w:sz w:val="44"/>
          <w:szCs w:val="44"/>
        </w:rPr>
      </w:pPr>
      <w:bookmarkStart w:id="0" w:name="_Toc8044_WPSOffice_Level1"/>
      <w:bookmarkStart w:id="1" w:name="_Toc4691_WPSOffice_Level1"/>
    </w:p>
    <w:p>
      <w:pPr>
        <w:pStyle w:val="2"/>
      </w:pPr>
    </w:p>
    <w:p>
      <w:pPr>
        <w:spacing w:line="360" w:lineRule="auto"/>
        <w:jc w:val="center"/>
        <w:rPr>
          <w:rFonts w:ascii="宋体" w:hAnsi="宋体" w:cs="宋体"/>
          <w:sz w:val="44"/>
          <w:szCs w:val="44"/>
        </w:rPr>
      </w:pPr>
      <w:r>
        <w:rPr>
          <w:rFonts w:hint="eastAsia" w:ascii="宋体" w:hAnsi="宋体" w:cs="宋体"/>
          <w:sz w:val="44"/>
          <w:szCs w:val="44"/>
        </w:rPr>
        <w:t>目录</w:t>
      </w:r>
    </w:p>
    <w:p>
      <w:pPr>
        <w:pStyle w:val="8"/>
        <w:tabs>
          <w:tab w:val="right" w:leader="dot" w:pos="8336"/>
        </w:tabs>
        <w:spacing w:line="360" w:lineRule="auto"/>
        <w:ind w:firstLine="600" w:firstLineChars="200"/>
        <w:rPr>
          <w:rFonts w:ascii="宋体" w:hAnsi="宋体" w:cs="宋体"/>
          <w:b/>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8"/>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w:t>
      </w:r>
      <w:r>
        <w:rPr>
          <w:rFonts w:hint="eastAsia" w:ascii="宋体" w:hAnsi="宋体" w:cs="宋体"/>
          <w:b/>
          <w:sz w:val="30"/>
          <w:szCs w:val="30"/>
          <w:lang w:val="en-US" w:eastAsia="zh-CN"/>
        </w:rPr>
        <w:t>1</w:t>
      </w:r>
      <w:r>
        <w:rPr>
          <w:rFonts w:hint="eastAsia" w:ascii="宋体" w:hAnsi="宋体" w:cs="宋体"/>
          <w:b/>
          <w:sz w:val="30"/>
          <w:szCs w:val="30"/>
        </w:rPr>
        <w:t>年度部门决算公开报表</w:t>
      </w:r>
    </w:p>
    <w:p>
      <w:pPr>
        <w:pStyle w:val="8"/>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w:t>
      </w:r>
      <w:r>
        <w:rPr>
          <w:rFonts w:hint="eastAsia" w:ascii="宋体" w:hAnsi="宋体" w:cs="宋体"/>
          <w:b/>
          <w:sz w:val="30"/>
          <w:szCs w:val="30"/>
          <w:lang w:val="en-US" w:eastAsia="zh-CN"/>
        </w:rPr>
        <w:t>1</w:t>
      </w:r>
      <w:r>
        <w:rPr>
          <w:rFonts w:hint="eastAsia" w:ascii="宋体" w:hAnsi="宋体" w:cs="宋体"/>
          <w:b/>
          <w:sz w:val="30"/>
          <w:szCs w:val="30"/>
        </w:rPr>
        <w:t>年度部门决算情况说明</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8"/>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ind w:firstLine="3614" w:firstLineChars="1200"/>
        <w:rPr>
          <w:rFonts w:ascii="宋体" w:hAnsi="宋体" w:cs="宋体"/>
          <w:b/>
          <w:sz w:val="30"/>
          <w:szCs w:val="30"/>
        </w:rPr>
      </w:pPr>
      <w:r>
        <w:rPr>
          <w:rFonts w:hint="eastAsia" w:ascii="宋体" w:hAnsi="宋体" w:cs="宋体"/>
          <w:b/>
          <w:sz w:val="30"/>
          <w:szCs w:val="30"/>
        </w:rPr>
        <w:fldChar w:fldCharType="end"/>
      </w:r>
    </w:p>
    <w:p>
      <w:pPr>
        <w:rPr>
          <w:rFonts w:ascii="宋体" w:hAnsi="宋体" w:cs="宋体"/>
          <w:b/>
          <w:sz w:val="30"/>
          <w:szCs w:val="30"/>
        </w:rPr>
      </w:pP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pStyle w:val="2"/>
        <w:rPr>
          <w:rFonts w:hint="eastAsia" w:ascii="宋体" w:hAnsi="宋体" w:eastAsia="宋体" w:cs="宋体"/>
          <w:sz w:val="30"/>
          <w:szCs w:val="30"/>
        </w:rPr>
      </w:pPr>
      <w:bookmarkStart w:id="2" w:name="_Toc7430_WPSOffice_Level1"/>
      <w:r>
        <w:rPr>
          <w:rFonts w:hint="eastAsia" w:ascii="仿宋_GB2312" w:hAnsi="仿宋_GB2312" w:eastAsia="仿宋_GB2312" w:cs="仿宋_GB2312"/>
          <w:b/>
          <w:bCs/>
          <w:sz w:val="32"/>
          <w:szCs w:val="32"/>
        </w:rPr>
        <w:t>（一）主要职能职责</w:t>
      </w:r>
    </w:p>
    <w:p>
      <w:pPr>
        <w:spacing w:line="204" w:lineRule="auto"/>
        <w:ind w:firstLine="667"/>
        <w:jc w:val="left"/>
        <w:rPr>
          <w:rFonts w:hint="eastAsia" w:ascii="宋体" w:hAnsi="宋体" w:eastAsia="仿宋_GB2312" w:cs="Times New Roman"/>
          <w:sz w:val="32"/>
          <w:szCs w:val="32"/>
        </w:rPr>
      </w:pPr>
      <w:r>
        <w:rPr>
          <w:rFonts w:hint="eastAsia" w:ascii="宋体" w:hAnsi="宋体" w:eastAsia="仿宋_GB2312" w:cs="Times New Roman"/>
          <w:sz w:val="32"/>
          <w:szCs w:val="32"/>
        </w:rPr>
        <w:t>1.组织贯彻执行中央、省委、市委和区委关于党的统一战线工作方针、政策、指示、决议；负责对区级统战系统的重要活动协调，并对贯彻落实各项统战方针、政策进行督促检查，向区委反映党外人士的意见和建议。</w:t>
      </w:r>
    </w:p>
    <w:p>
      <w:pPr>
        <w:spacing w:line="204" w:lineRule="auto"/>
        <w:ind w:firstLine="667"/>
        <w:jc w:val="left"/>
        <w:rPr>
          <w:rFonts w:hint="eastAsia" w:ascii="宋体" w:hAnsi="宋体" w:eastAsia="仿宋_GB2312" w:cs="Times New Roman"/>
          <w:sz w:val="32"/>
          <w:szCs w:val="32"/>
        </w:rPr>
      </w:pPr>
      <w:r>
        <w:rPr>
          <w:rFonts w:hint="eastAsia" w:ascii="宋体" w:hAnsi="宋体" w:eastAsia="仿宋_GB2312" w:cs="Times New Roman"/>
          <w:sz w:val="32"/>
          <w:szCs w:val="32"/>
        </w:rPr>
        <w:t>2.负责联系各民主党派和无党派代表人士。协助区委贯彻党领导的多党合作和政治协商制度以及对民主党派的方针、政策，发挥区级各民主党派参政议政和民主监督作用；支持、帮助区级各民主党派开展工作，加强自身建设。</w:t>
      </w:r>
    </w:p>
    <w:p>
      <w:pPr>
        <w:spacing w:line="204" w:lineRule="auto"/>
        <w:ind w:firstLine="667"/>
        <w:jc w:val="left"/>
        <w:rPr>
          <w:rFonts w:hint="eastAsia" w:ascii="宋体" w:hAnsi="宋体" w:eastAsia="仿宋_GB2312" w:cs="Times New Roman"/>
          <w:sz w:val="32"/>
          <w:szCs w:val="32"/>
        </w:rPr>
      </w:pPr>
      <w:r>
        <w:rPr>
          <w:rFonts w:hint="eastAsia" w:ascii="宋体" w:hAnsi="宋体" w:eastAsia="仿宋_GB2312" w:cs="Times New Roman"/>
          <w:sz w:val="32"/>
          <w:szCs w:val="32"/>
        </w:rPr>
        <w:t>3.负责党外人士的政治安排，会同区委组织部做好培养、选拔、推荐党外人士担任政府职能局和司法机关等领导职务的工作，做好党外后备干部队伍的建设工作。</w:t>
      </w:r>
    </w:p>
    <w:p>
      <w:pPr>
        <w:spacing w:line="204" w:lineRule="auto"/>
        <w:ind w:firstLine="667"/>
        <w:jc w:val="left"/>
        <w:rPr>
          <w:rFonts w:hint="eastAsia" w:ascii="宋体" w:hAnsi="宋体" w:eastAsia="仿宋_GB2312" w:cs="Times New Roman"/>
          <w:sz w:val="32"/>
          <w:szCs w:val="32"/>
        </w:rPr>
      </w:pPr>
      <w:r>
        <w:rPr>
          <w:rFonts w:hint="eastAsia" w:ascii="宋体" w:hAnsi="宋体" w:eastAsia="仿宋_GB2312" w:cs="Times New Roman"/>
          <w:sz w:val="32"/>
          <w:szCs w:val="32"/>
        </w:rPr>
        <w:t>4.协调检查有关民族、宗教工作方针、政策的落实情况，联系宗教界、少数民族的代表人士。</w:t>
      </w:r>
    </w:p>
    <w:p>
      <w:pPr>
        <w:spacing w:line="204" w:lineRule="auto"/>
        <w:ind w:firstLine="667"/>
        <w:jc w:val="left"/>
        <w:rPr>
          <w:rFonts w:hint="eastAsia" w:ascii="宋体" w:hAnsi="宋体" w:eastAsia="仿宋_GB2312" w:cs="Times New Roman"/>
          <w:sz w:val="32"/>
          <w:szCs w:val="32"/>
        </w:rPr>
      </w:pPr>
      <w:r>
        <w:rPr>
          <w:rFonts w:hint="eastAsia" w:ascii="宋体" w:hAnsi="宋体" w:eastAsia="仿宋_GB2312" w:cs="Times New Roman"/>
          <w:sz w:val="32"/>
          <w:szCs w:val="32"/>
        </w:rPr>
        <w:t>5.统一领导全区港澳台海外统战工作。联系香港、澳门、台湾和海外有关党派、团体及代表人士，开展以经济建设为中心，祖国统一为重点的统战工作，扎实做好调查研究和信息工作，会同有关部门对香港、澳门地区统一战线工作进行调查研究并提出政策建议，进一步整个资源，共享信息，形成合力，做好台胞、台属有关工作。</w:t>
      </w:r>
    </w:p>
    <w:p>
      <w:pPr>
        <w:spacing w:line="204" w:lineRule="auto"/>
        <w:ind w:firstLine="667"/>
        <w:jc w:val="left"/>
        <w:rPr>
          <w:rFonts w:hint="eastAsia" w:ascii="宋体" w:hAnsi="宋体" w:eastAsia="仿宋_GB2312" w:cs="Times New Roman"/>
          <w:sz w:val="32"/>
          <w:szCs w:val="32"/>
        </w:rPr>
      </w:pPr>
      <w:r>
        <w:rPr>
          <w:rFonts w:hint="eastAsia" w:ascii="宋体" w:hAnsi="宋体" w:eastAsia="仿宋_GB2312" w:cs="Times New Roman"/>
          <w:sz w:val="32"/>
          <w:szCs w:val="32"/>
        </w:rPr>
        <w:t>6.负责开展经济领域的统战工作，联系非公有制经济代表人士，指导区工商联工作，调查、研究并反映我区非公有制经济代表人士的情况、协调关系、提出意见和建议。</w:t>
      </w:r>
    </w:p>
    <w:p>
      <w:pPr>
        <w:spacing w:line="204" w:lineRule="auto"/>
        <w:ind w:firstLine="667"/>
        <w:jc w:val="left"/>
        <w:rPr>
          <w:rFonts w:hint="eastAsia" w:ascii="宋体" w:hAnsi="宋体" w:eastAsia="仿宋_GB2312" w:cs="Times New Roman"/>
          <w:sz w:val="32"/>
          <w:szCs w:val="32"/>
        </w:rPr>
      </w:pPr>
      <w:r>
        <w:rPr>
          <w:rFonts w:hint="eastAsia" w:ascii="宋体" w:hAnsi="宋体" w:eastAsia="仿宋_GB2312" w:cs="Times New Roman"/>
          <w:sz w:val="32"/>
          <w:szCs w:val="32"/>
        </w:rPr>
        <w:t>7.负责开展海内外统一战线的宣传工作。</w:t>
      </w:r>
    </w:p>
    <w:p>
      <w:pPr>
        <w:spacing w:line="204" w:lineRule="auto"/>
        <w:ind w:firstLine="667"/>
        <w:jc w:val="left"/>
        <w:rPr>
          <w:rFonts w:hint="eastAsia" w:ascii="宋体" w:hAnsi="宋体" w:eastAsia="仿宋_GB2312" w:cs="Times New Roman"/>
          <w:sz w:val="32"/>
          <w:szCs w:val="32"/>
        </w:rPr>
      </w:pPr>
      <w:r>
        <w:rPr>
          <w:rFonts w:hint="eastAsia" w:ascii="宋体" w:hAnsi="宋体" w:eastAsia="仿宋_GB2312" w:cs="Times New Roman"/>
          <w:sz w:val="32"/>
          <w:szCs w:val="32"/>
        </w:rPr>
        <w:t>8.调查研究党外知识分子的情况，反映党外知识分子的意见，协调关系、提出政策建议。联系并培养党外知识分子代表人物，会同有关部门做好政治、生活待遇的安排。</w:t>
      </w:r>
    </w:p>
    <w:p>
      <w:pPr>
        <w:spacing w:line="204" w:lineRule="auto"/>
        <w:ind w:firstLine="667"/>
        <w:jc w:val="left"/>
        <w:rPr>
          <w:rFonts w:hint="eastAsia" w:ascii="宋体" w:hAnsi="宋体" w:eastAsia="仿宋_GB2312" w:cs="Times New Roman"/>
          <w:sz w:val="32"/>
          <w:szCs w:val="32"/>
        </w:rPr>
      </w:pPr>
      <w:r>
        <w:rPr>
          <w:rFonts w:hint="eastAsia" w:ascii="宋体" w:hAnsi="宋体" w:eastAsia="仿宋_GB2312" w:cs="Times New Roman"/>
          <w:sz w:val="32"/>
          <w:szCs w:val="32"/>
        </w:rPr>
        <w:t>9.直到新的社会阶层人士各项工作。</w:t>
      </w:r>
    </w:p>
    <w:p>
      <w:pPr>
        <w:spacing w:line="204" w:lineRule="auto"/>
        <w:ind w:firstLine="667"/>
        <w:jc w:val="left"/>
        <w:rPr>
          <w:rFonts w:hint="eastAsia" w:ascii="宋体" w:hAnsi="宋体" w:eastAsia="仿宋_GB2312" w:cs="Times New Roman"/>
          <w:sz w:val="32"/>
          <w:szCs w:val="32"/>
        </w:rPr>
      </w:pPr>
      <w:r>
        <w:rPr>
          <w:rFonts w:hint="eastAsia" w:ascii="宋体" w:hAnsi="宋体" w:eastAsia="仿宋_GB2312" w:cs="Times New Roman"/>
          <w:sz w:val="32"/>
          <w:szCs w:val="32"/>
        </w:rPr>
        <w:t>10.完成区委交办的其他任务。</w:t>
      </w:r>
    </w:p>
    <w:p>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（二）部门机构设置</w:t>
      </w:r>
    </w:p>
    <w:p>
      <w:pPr>
        <w:spacing w:line="204" w:lineRule="auto"/>
        <w:ind w:firstLine="667"/>
        <w:jc w:val="left"/>
        <w:rPr>
          <w:rFonts w:hint="eastAsia" w:ascii="宋体" w:hAnsi="宋体" w:eastAsia="仿宋_GB2312" w:cs="Times New Roman"/>
          <w:sz w:val="32"/>
          <w:szCs w:val="32"/>
        </w:rPr>
      </w:pPr>
      <w:r>
        <w:rPr>
          <w:rFonts w:hint="eastAsia" w:ascii="宋体" w:hAnsi="宋体" w:eastAsia="仿宋_GB2312" w:cs="Times New Roman"/>
          <w:sz w:val="32"/>
          <w:szCs w:val="32"/>
        </w:rPr>
        <w:t>本单位内设</w:t>
      </w:r>
      <w:r>
        <w:rPr>
          <w:rFonts w:hint="eastAsia" w:ascii="宋体" w:hAnsi="宋体" w:eastAsia="仿宋_GB2312" w:cs="Times New Roman"/>
          <w:sz w:val="32"/>
          <w:szCs w:val="32"/>
          <w:lang w:val="en-US" w:eastAsia="zh-CN"/>
        </w:rPr>
        <w:t>3</w:t>
      </w:r>
      <w:r>
        <w:rPr>
          <w:rFonts w:hint="eastAsia" w:ascii="宋体" w:hAnsi="宋体" w:eastAsia="仿宋_GB2312" w:cs="Times New Roman"/>
          <w:sz w:val="32"/>
          <w:szCs w:val="32"/>
        </w:rPr>
        <w:t>个</w:t>
      </w:r>
      <w:r>
        <w:rPr>
          <w:rFonts w:hint="eastAsia" w:ascii="宋体" w:hAnsi="宋体" w:eastAsia="仿宋_GB2312" w:cs="Times New Roman"/>
          <w:sz w:val="32"/>
          <w:szCs w:val="32"/>
          <w:lang w:val="en-US" w:eastAsia="zh-CN"/>
        </w:rPr>
        <w:t>股室</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无下</w:t>
      </w:r>
      <w:r>
        <w:rPr>
          <w:rFonts w:hint="eastAsia" w:ascii="宋体" w:hAnsi="宋体" w:eastAsia="仿宋_GB2312" w:cs="Times New Roman"/>
          <w:sz w:val="32"/>
          <w:szCs w:val="32"/>
        </w:rPr>
        <w:t>属单位。从预算单位构成看，</w:t>
      </w:r>
      <w:r>
        <w:rPr>
          <w:rFonts w:hint="eastAsia" w:ascii="宋体" w:hAnsi="宋体" w:eastAsia="仿宋_GB2312" w:cs="Times New Roman"/>
          <w:sz w:val="32"/>
          <w:szCs w:val="32"/>
          <w:lang w:val="en-US" w:eastAsia="zh-CN"/>
        </w:rPr>
        <w:t>本</w:t>
      </w:r>
      <w:r>
        <w:rPr>
          <w:rFonts w:hint="eastAsia" w:ascii="宋体" w:hAnsi="宋体" w:eastAsia="仿宋_GB2312" w:cs="Times New Roman"/>
          <w:sz w:val="32"/>
          <w:szCs w:val="32"/>
        </w:rPr>
        <w:t>单位部门决算</w:t>
      </w:r>
      <w:r>
        <w:rPr>
          <w:rFonts w:hint="eastAsia" w:ascii="宋体" w:hAnsi="宋体" w:eastAsia="仿宋_GB2312" w:cs="Times New Roman"/>
          <w:sz w:val="32"/>
          <w:szCs w:val="32"/>
          <w:lang w:val="en-US" w:eastAsia="zh-CN"/>
        </w:rPr>
        <w:t>为</w:t>
      </w:r>
      <w:r>
        <w:rPr>
          <w:rFonts w:hint="eastAsia" w:ascii="宋体" w:hAnsi="宋体" w:eastAsia="仿宋_GB2312" w:cs="Times New Roman"/>
          <w:sz w:val="32"/>
          <w:szCs w:val="32"/>
        </w:rPr>
        <w:t>本级决算</w:t>
      </w:r>
      <w:r>
        <w:rPr>
          <w:rFonts w:hint="eastAsia" w:ascii="宋体" w:hAnsi="宋体" w:eastAsia="仿宋_GB2312" w:cs="Times New Roman"/>
          <w:sz w:val="32"/>
          <w:szCs w:val="32"/>
          <w:lang w:eastAsia="zh-CN"/>
        </w:rPr>
        <w:t>。</w:t>
      </w:r>
    </w:p>
    <w:p>
      <w:pPr>
        <w:rPr>
          <w:rFonts w:ascii="仿宋" w:hAnsi="仿宋" w:eastAsia="仿宋" w:cs="仿宋"/>
          <w:sz w:val="32"/>
          <w:szCs w:val="32"/>
        </w:rPr>
      </w:pP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年度部门决算表</w:t>
      </w:r>
      <w:bookmarkEnd w:id="2"/>
    </w:p>
    <w:p>
      <w:pPr>
        <w:rPr>
          <w:rFonts w:hint="eastAsia" w:ascii="仿宋" w:hAnsi="仿宋" w:eastAsia="仿宋" w:cs="仿宋"/>
          <w:sz w:val="32"/>
          <w:szCs w:val="32"/>
        </w:rPr>
      </w:pPr>
      <w:r>
        <w:rPr>
          <w:rFonts w:hint="eastAsia" w:ascii="仿宋" w:hAnsi="仿宋" w:eastAsia="仿宋" w:cs="仿宋"/>
          <w:sz w:val="32"/>
          <w:szCs w:val="32"/>
        </w:rPr>
        <w:t>决算公开报表见附件：</w:t>
      </w:r>
    </w:p>
    <w:p>
      <w:pPr>
        <w:pStyle w:val="2"/>
      </w:pPr>
    </w:p>
    <w:p>
      <w:pPr>
        <w:jc w:val="center"/>
        <w:rPr>
          <w:rFonts w:ascii="黑体" w:hAnsi="黑体" w:eastAsia="黑体" w:cs="黑体"/>
          <w:snapToGrid w:val="0"/>
          <w:color w:val="000000"/>
          <w:spacing w:val="-4"/>
          <w:kern w:val="0"/>
          <w:sz w:val="32"/>
          <w:szCs w:val="32"/>
        </w:rPr>
      </w:pPr>
      <w:bookmarkStart w:id="3" w:name="_Toc17336_WPSOffice_Level1"/>
      <w:bookmarkStart w:id="4" w:name="_Toc25884_WPSOffice_Level1"/>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年度部门决算情况说明</w:t>
      </w:r>
      <w:bookmarkEnd w:id="3"/>
      <w:bookmarkEnd w:id="4"/>
    </w:p>
    <w:p>
      <w:pPr>
        <w:numPr>
          <w:ilvl w:val="0"/>
          <w:numId w:val="1"/>
        </w:numPr>
        <w:rPr>
          <w:rFonts w:ascii="仿宋" w:hAnsi="仿宋" w:eastAsia="仿宋" w:cs="仿宋"/>
          <w:color w:val="000000" w:themeColor="text1"/>
          <w:sz w:val="32"/>
          <w:szCs w:val="32"/>
          <w14:textFill>
            <w14:solidFill>
              <w14:schemeClr w14:val="tx1"/>
            </w14:solidFill>
          </w14:textFill>
        </w:rPr>
      </w:pPr>
      <w:bookmarkStart w:id="5" w:name="_Toc1653_WPSOffice_Level2"/>
      <w:bookmarkStart w:id="6" w:name="_Toc22880_WPSOffice_Level2"/>
      <w:r>
        <w:rPr>
          <w:rFonts w:hint="eastAsia" w:ascii="楷体" w:hAnsi="楷体" w:eastAsia="楷体" w:cs="楷体"/>
          <w:color w:val="000000" w:themeColor="text1"/>
          <w:spacing w:val="-3"/>
          <w:sz w:val="32"/>
          <w:szCs w:val="32"/>
          <w14:textFill>
            <w14:solidFill>
              <w14:schemeClr w14:val="tx1"/>
            </w14:solidFill>
          </w14:textFill>
        </w:rPr>
        <w:t>收入支出决算总体情况说明</w:t>
      </w:r>
      <w:bookmarkEnd w:id="5"/>
      <w:bookmarkEnd w:id="6"/>
    </w:p>
    <w:p>
      <w:pPr>
        <w:spacing w:line="204" w:lineRule="auto"/>
        <w:ind w:firstLine="667"/>
        <w:jc w:val="left"/>
        <w:rPr>
          <w:rFonts w:hint="default" w:ascii="宋体" w:hAnsi="宋体" w:eastAsia="仿宋_GB2312" w:cs="Times New Roman"/>
          <w:color w:val="000000" w:themeColor="text1"/>
          <w:sz w:val="32"/>
          <w:szCs w:val="32"/>
          <w:highlight w:val="none"/>
          <w:lang w:val="en-US"/>
          <w14:textFill>
            <w14:solidFill>
              <w14:schemeClr w14:val="tx1"/>
            </w14:solidFill>
          </w14:textFill>
        </w:rPr>
      </w:pPr>
      <w:bookmarkStart w:id="7" w:name="_Toc14383_WPSOffice_Level2"/>
      <w:r>
        <w:rPr>
          <w:rFonts w:hint="eastAsia" w:ascii="宋体" w:hAnsi="宋体" w:eastAsia="仿宋_GB2312" w:cs="Times New Roman"/>
          <w:color w:val="000000" w:themeColor="text1"/>
          <w:sz w:val="32"/>
          <w:szCs w:val="32"/>
          <w:lang w:eastAsia="zh-CN"/>
          <w14:textFill>
            <w14:solidFill>
              <w14:schemeClr w14:val="tx1"/>
            </w14:solidFill>
          </w14:textFill>
        </w:rPr>
        <w:t>2021</w:t>
      </w:r>
      <w:r>
        <w:rPr>
          <w:rFonts w:hint="eastAsia" w:ascii="宋体" w:hAnsi="宋体" w:eastAsia="仿宋_GB2312" w:cs="Times New Roman"/>
          <w:color w:val="000000" w:themeColor="text1"/>
          <w:sz w:val="32"/>
          <w:szCs w:val="32"/>
          <w14:textFill>
            <w14:solidFill>
              <w14:schemeClr w14:val="tx1"/>
            </w14:solidFill>
          </w14:textFill>
        </w:rPr>
        <w:t xml:space="preserve"> 年 度 收 入 总 计</w:t>
      </w:r>
      <w:r>
        <w:rPr>
          <w:rFonts w:hint="eastAsia" w:ascii="宋体" w:hAnsi="宋体" w:eastAsia="仿宋_GB2312" w:cs="Times New Roman"/>
          <w:color w:val="000000" w:themeColor="text1"/>
          <w:sz w:val="32"/>
          <w:szCs w:val="32"/>
          <w:lang w:val="en-US" w:eastAsia="zh-CN"/>
          <w14:textFill>
            <w14:solidFill>
              <w14:schemeClr w14:val="tx1"/>
            </w14:solidFill>
          </w14:textFill>
        </w:rPr>
        <w:t>154.96</w:t>
      </w:r>
      <w:r>
        <w:rPr>
          <w:rFonts w:hint="eastAsia" w:ascii="宋体" w:hAnsi="宋体" w:eastAsia="仿宋_GB2312" w:cs="Times New Roman"/>
          <w:color w:val="000000" w:themeColor="text1"/>
          <w:sz w:val="32"/>
          <w:szCs w:val="32"/>
          <w14:textFill>
            <w14:solidFill>
              <w14:schemeClr w14:val="tx1"/>
            </w14:solidFill>
          </w14:textFill>
        </w:rPr>
        <w:t>万元 、 支 出 总 计</w:t>
      </w:r>
      <w:r>
        <w:rPr>
          <w:rFonts w:hint="eastAsia" w:ascii="宋体" w:hAnsi="宋体" w:eastAsia="仿宋_GB2312" w:cs="Times New Roman"/>
          <w:color w:val="000000" w:themeColor="text1"/>
          <w:sz w:val="32"/>
          <w:szCs w:val="32"/>
          <w:highlight w:val="none"/>
          <w:lang w:val="en-US" w:eastAsia="zh-CN"/>
          <w14:textFill>
            <w14:solidFill>
              <w14:schemeClr w14:val="tx1"/>
            </w14:solidFill>
          </w14:textFill>
        </w:rPr>
        <w:t>154.96</w:t>
      </w:r>
      <w:r>
        <w:rPr>
          <w:rFonts w:hint="eastAsia" w:ascii="宋体" w:hAnsi="宋体" w:eastAsia="仿宋_GB2312" w:cs="Times New Roman"/>
          <w:color w:val="000000" w:themeColor="text1"/>
          <w:sz w:val="32"/>
          <w:szCs w:val="32"/>
          <w:highlight w:val="none"/>
          <w14:textFill>
            <w14:solidFill>
              <w14:schemeClr w14:val="tx1"/>
            </w14:solidFill>
          </w14:textFill>
        </w:rPr>
        <w:t xml:space="preserve">万元。与 </w:t>
      </w:r>
      <w:r>
        <w:rPr>
          <w:rFonts w:hint="eastAsia" w:ascii="宋体" w:hAnsi="宋体" w:eastAsia="仿宋_GB2312" w:cs="Times New Roman"/>
          <w:color w:val="000000" w:themeColor="text1"/>
          <w:sz w:val="32"/>
          <w:szCs w:val="32"/>
          <w:highlight w:val="none"/>
          <w:lang w:eastAsia="zh-CN"/>
          <w14:textFill>
            <w14:solidFill>
              <w14:schemeClr w14:val="tx1"/>
            </w14:solidFill>
          </w14:textFill>
        </w:rPr>
        <w:t>2020</w:t>
      </w:r>
      <w:r>
        <w:rPr>
          <w:rFonts w:hint="eastAsia" w:ascii="宋体" w:hAnsi="宋体" w:eastAsia="仿宋_GB2312" w:cs="Times New Roman"/>
          <w:color w:val="000000" w:themeColor="text1"/>
          <w:sz w:val="32"/>
          <w:szCs w:val="32"/>
          <w:highlight w:val="none"/>
          <w14:textFill>
            <w14:solidFill>
              <w14:schemeClr w14:val="tx1"/>
            </w14:solidFill>
          </w14:textFill>
        </w:rPr>
        <w:t>年相比,收入总计减少</w:t>
      </w:r>
      <w:r>
        <w:rPr>
          <w:rFonts w:hint="eastAsia" w:ascii="宋体" w:hAnsi="宋体" w:eastAsia="仿宋_GB2312" w:cs="Times New Roman"/>
          <w:color w:val="000000" w:themeColor="text1"/>
          <w:sz w:val="32"/>
          <w:szCs w:val="32"/>
          <w:highlight w:val="none"/>
          <w:lang w:val="en-US" w:eastAsia="zh-CN"/>
          <w14:textFill>
            <w14:solidFill>
              <w14:schemeClr w14:val="tx1"/>
            </w14:solidFill>
          </w14:textFill>
        </w:rPr>
        <w:t>25.48</w:t>
      </w:r>
      <w:r>
        <w:rPr>
          <w:rFonts w:hint="eastAsia" w:ascii="宋体" w:hAnsi="宋体" w:eastAsia="仿宋_GB2312" w:cs="Times New Roman"/>
          <w:color w:val="000000" w:themeColor="text1"/>
          <w:sz w:val="32"/>
          <w:szCs w:val="32"/>
          <w:highlight w:val="none"/>
          <w14:textFill>
            <w14:solidFill>
              <w14:schemeClr w14:val="tx1"/>
            </w14:solidFill>
          </w14:textFill>
        </w:rPr>
        <w:t>万元，支出总计减少</w:t>
      </w:r>
      <w:r>
        <w:rPr>
          <w:rFonts w:hint="eastAsia" w:ascii="宋体" w:hAnsi="宋体" w:eastAsia="仿宋_GB2312" w:cs="Times New Roman"/>
          <w:color w:val="000000" w:themeColor="text1"/>
          <w:sz w:val="32"/>
          <w:szCs w:val="32"/>
          <w:highlight w:val="none"/>
          <w:lang w:val="en-US" w:eastAsia="zh-CN"/>
          <w14:textFill>
            <w14:solidFill>
              <w14:schemeClr w14:val="tx1"/>
            </w14:solidFill>
          </w14:textFill>
        </w:rPr>
        <w:t>25.48</w:t>
      </w:r>
      <w:r>
        <w:rPr>
          <w:rFonts w:hint="eastAsia" w:ascii="宋体" w:hAnsi="宋体" w:eastAsia="仿宋_GB2312" w:cs="Times New Roman"/>
          <w:color w:val="000000" w:themeColor="text1"/>
          <w:sz w:val="32"/>
          <w:szCs w:val="32"/>
          <w:highlight w:val="none"/>
          <w14:textFill>
            <w14:solidFill>
              <w14:schemeClr w14:val="tx1"/>
            </w14:solidFill>
          </w14:textFill>
        </w:rPr>
        <w:t>万元。主要原因是：</w:t>
      </w:r>
      <w:r>
        <w:rPr>
          <w:rFonts w:hint="eastAsia" w:ascii="宋体" w:hAnsi="宋体" w:eastAsia="仿宋_GB2312" w:cs="Times New Roman"/>
          <w:color w:val="000000" w:themeColor="text1"/>
          <w:sz w:val="32"/>
          <w:szCs w:val="32"/>
          <w:highlight w:val="none"/>
          <w:lang w:val="en-US" w:eastAsia="zh-CN"/>
          <w14:textFill>
            <w14:solidFill>
              <w14:schemeClr w14:val="tx1"/>
            </w14:solidFill>
          </w14:textFill>
        </w:rPr>
        <w:t>人员调整调出3人，工资减少21.89万元。</w:t>
      </w: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w:t>
      </w:r>
      <w:bookmarkEnd w:id="7"/>
    </w:p>
    <w:p>
      <w:pPr>
        <w:spacing w:line="204" w:lineRule="auto"/>
        <w:ind w:firstLine="667"/>
        <w:jc w:val="left"/>
        <w:rPr>
          <w:rFonts w:ascii="仿宋" w:hAnsi="仿宋" w:eastAsia="仿宋" w:cs="仿宋"/>
          <w:spacing w:val="-4"/>
          <w:sz w:val="32"/>
          <w:szCs w:val="32"/>
        </w:rPr>
      </w:pPr>
      <w:bookmarkStart w:id="8" w:name="_Toc504_WPSOffice_Level2"/>
      <w:bookmarkStart w:id="9" w:name="_Toc6621_WPSOffice_Level2"/>
      <w:r>
        <w:rPr>
          <w:rFonts w:hint="eastAsia" w:ascii="宋体" w:hAnsi="宋体" w:eastAsia="仿宋_GB2312" w:cs="Times New Roman"/>
          <w:sz w:val="32"/>
          <w:szCs w:val="32"/>
        </w:rPr>
        <w:t>本年收入合计</w:t>
      </w:r>
      <w:r>
        <w:rPr>
          <w:rFonts w:hint="eastAsia" w:ascii="仿宋" w:hAnsi="仿宋" w:eastAsia="仿宋" w:cs="仿宋"/>
          <w:sz w:val="32"/>
          <w:szCs w:val="32"/>
          <w:lang w:val="en-US" w:eastAsia="zh-CN"/>
        </w:rPr>
        <w:t>154.96</w:t>
      </w:r>
      <w:r>
        <w:rPr>
          <w:rFonts w:hint="eastAsia" w:ascii="宋体" w:hAnsi="宋体" w:eastAsia="仿宋_GB2312" w:cs="Times New Roman"/>
          <w:sz w:val="32"/>
          <w:szCs w:val="32"/>
        </w:rPr>
        <w:t>万元，其中：财政拨款收入</w:t>
      </w:r>
      <w:r>
        <w:rPr>
          <w:rFonts w:hint="eastAsia" w:ascii="仿宋" w:hAnsi="仿宋" w:eastAsia="仿宋" w:cs="仿宋"/>
          <w:sz w:val="32"/>
          <w:szCs w:val="32"/>
          <w:lang w:val="en-US" w:eastAsia="zh-CN"/>
        </w:rPr>
        <w:t>154.96</w:t>
      </w:r>
      <w:r>
        <w:rPr>
          <w:rFonts w:hint="eastAsia" w:ascii="宋体" w:hAnsi="宋体" w:eastAsia="仿宋_GB2312" w:cs="Times New Roman"/>
          <w:sz w:val="32"/>
          <w:szCs w:val="32"/>
        </w:rPr>
        <w:t>万元;上级补助收入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万元；事业收入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万元；附属单位上缴收入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万元；其他收入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bookmarkEnd w:id="8"/>
      <w:bookmarkEnd w:id="9"/>
    </w:p>
    <w:p>
      <w:pPr>
        <w:ind w:firstLine="640" w:firstLineChars="200"/>
        <w:rPr>
          <w:rFonts w:ascii="仿宋" w:hAnsi="仿宋" w:eastAsia="仿宋" w:cs="仿宋"/>
          <w:sz w:val="32"/>
          <w:szCs w:val="32"/>
        </w:rPr>
      </w:pPr>
      <w:bookmarkStart w:id="10" w:name="_Toc32119_WPSOffice_Level2"/>
      <w:bookmarkStart w:id="11" w:name="_Toc8754_WPSOffice_Level2"/>
      <w:r>
        <w:rPr>
          <w:rFonts w:hint="eastAsia" w:ascii="宋体" w:hAnsi="宋体" w:eastAsia="仿宋_GB2312" w:cs="Times New Roman"/>
          <w:sz w:val="32"/>
          <w:szCs w:val="32"/>
        </w:rPr>
        <w:t>本年支出合计</w:t>
      </w:r>
      <w:r>
        <w:rPr>
          <w:rFonts w:hint="eastAsia" w:ascii="仿宋" w:hAnsi="仿宋" w:eastAsia="仿宋" w:cs="仿宋"/>
          <w:sz w:val="32"/>
          <w:szCs w:val="32"/>
          <w:lang w:val="en-US" w:eastAsia="zh-CN"/>
        </w:rPr>
        <w:t>154.96</w:t>
      </w:r>
      <w:r>
        <w:rPr>
          <w:rFonts w:hint="eastAsia" w:ascii="宋体" w:hAnsi="宋体" w:eastAsia="仿宋_GB2312" w:cs="Times New Roman"/>
          <w:sz w:val="32"/>
          <w:szCs w:val="32"/>
        </w:rPr>
        <w:t>万元 ，其中：基本支出</w:t>
      </w:r>
      <w:r>
        <w:rPr>
          <w:rFonts w:hint="eastAsia" w:ascii="仿宋" w:hAnsi="仿宋" w:eastAsia="仿宋" w:cs="仿宋"/>
          <w:sz w:val="32"/>
          <w:szCs w:val="32"/>
          <w:lang w:val="en-US" w:eastAsia="zh-CN"/>
        </w:rPr>
        <w:t>99.10</w:t>
      </w:r>
      <w:r>
        <w:rPr>
          <w:rFonts w:hint="eastAsia" w:ascii="宋体" w:hAnsi="宋体" w:eastAsia="仿宋_GB2312" w:cs="Times New Roman"/>
          <w:sz w:val="32"/>
          <w:szCs w:val="32"/>
        </w:rPr>
        <w:t>万元 ；项目支出</w:t>
      </w:r>
      <w:r>
        <w:rPr>
          <w:rFonts w:hint="eastAsia" w:ascii="仿宋" w:hAnsi="仿宋" w:eastAsia="仿宋" w:cs="仿宋"/>
          <w:sz w:val="32"/>
          <w:szCs w:val="32"/>
          <w:lang w:val="en-US" w:eastAsia="zh-CN"/>
        </w:rPr>
        <w:t>55.86</w:t>
      </w:r>
      <w:r>
        <w:rPr>
          <w:rFonts w:hint="eastAsia" w:ascii="宋体" w:hAnsi="宋体" w:eastAsia="仿宋_GB2312" w:cs="Times New Roman"/>
          <w:sz w:val="32"/>
          <w:szCs w:val="32"/>
        </w:rPr>
        <w:t>万元；上缴上级支出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万元；对附属单位补助支出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bookmarkEnd w:id="10"/>
      <w:bookmarkEnd w:id="11"/>
    </w:p>
    <w:p>
      <w:pPr>
        <w:spacing w:line="204" w:lineRule="auto"/>
        <w:ind w:firstLine="667"/>
        <w:jc w:val="left"/>
        <w:rPr>
          <w:rFonts w:ascii="宋体" w:hAnsi="宋体" w:eastAsia="仿宋_GB2312" w:cs="Times New Roman"/>
          <w:color w:val="000000" w:themeColor="text1"/>
          <w:sz w:val="32"/>
          <w:szCs w:val="32"/>
          <w:highlight w:val="red"/>
          <w14:textFill>
            <w14:solidFill>
              <w14:schemeClr w14:val="tx1"/>
            </w14:solidFill>
          </w14:textFill>
        </w:rPr>
      </w:pPr>
      <w:bookmarkStart w:id="12" w:name="_Toc2892_WPSOffice_Level2"/>
      <w:bookmarkStart w:id="13" w:name="_Toc23250_WPSOffice_Level2"/>
      <w:r>
        <w:rPr>
          <w:rFonts w:hint="eastAsia" w:ascii="宋体" w:hAnsi="宋体" w:eastAsia="仿宋_GB2312" w:cs="Times New Roman"/>
          <w:color w:val="000000" w:themeColor="text1"/>
          <w:sz w:val="32"/>
          <w:szCs w:val="32"/>
          <w:lang w:eastAsia="zh-CN"/>
          <w14:textFill>
            <w14:solidFill>
              <w14:schemeClr w14:val="tx1"/>
            </w14:solidFill>
          </w14:textFill>
        </w:rPr>
        <w:t>2021</w:t>
      </w:r>
      <w:r>
        <w:rPr>
          <w:rFonts w:hint="eastAsia" w:ascii="宋体" w:hAnsi="宋体" w:eastAsia="仿宋_GB2312" w:cs="Times New Roman"/>
          <w:color w:val="000000" w:themeColor="text1"/>
          <w:sz w:val="32"/>
          <w:szCs w:val="32"/>
          <w14:textFill>
            <w14:solidFill>
              <w14:schemeClr w14:val="tx1"/>
            </w14:solidFill>
          </w14:textFill>
        </w:rPr>
        <w:t xml:space="preserve"> 年度财政拨款收入总计</w:t>
      </w:r>
      <w:r>
        <w:rPr>
          <w:rFonts w:hint="eastAsia" w:ascii="仿宋" w:hAnsi="仿宋" w:eastAsia="仿宋" w:cs="仿宋"/>
          <w:color w:val="000000" w:themeColor="text1"/>
          <w:sz w:val="32"/>
          <w:szCs w:val="32"/>
          <w:lang w:val="en-US" w:eastAsia="zh-CN"/>
          <w14:textFill>
            <w14:solidFill>
              <w14:schemeClr w14:val="tx1"/>
            </w14:solidFill>
          </w14:textFill>
        </w:rPr>
        <w:t>154.96</w:t>
      </w:r>
      <w:r>
        <w:rPr>
          <w:rFonts w:hint="eastAsia" w:ascii="宋体" w:hAnsi="宋体" w:eastAsia="仿宋_GB2312" w:cs="Times New Roman"/>
          <w:color w:val="000000" w:themeColor="text1"/>
          <w:sz w:val="32"/>
          <w:szCs w:val="32"/>
          <w14:textFill>
            <w14:solidFill>
              <w14:schemeClr w14:val="tx1"/>
            </w14:solidFill>
          </w14:textFill>
        </w:rPr>
        <w:t>万元、支出总计</w:t>
      </w:r>
      <w:r>
        <w:rPr>
          <w:rFonts w:hint="eastAsia" w:ascii="宋体" w:hAnsi="宋体" w:eastAsia="仿宋_GB2312" w:cs="Times New Roman"/>
          <w:color w:val="000000" w:themeColor="text1"/>
          <w:sz w:val="32"/>
          <w:szCs w:val="32"/>
          <w:lang w:val="en-US" w:eastAsia="zh-CN"/>
          <w14:textFill>
            <w14:solidFill>
              <w14:schemeClr w14:val="tx1"/>
            </w14:solidFill>
          </w14:textFill>
        </w:rPr>
        <w:t>154.96</w:t>
      </w:r>
      <w:r>
        <w:rPr>
          <w:rFonts w:hint="eastAsia" w:ascii="宋体" w:hAnsi="宋体" w:eastAsia="仿宋_GB2312" w:cs="Times New Roman"/>
          <w:color w:val="000000" w:themeColor="text1"/>
          <w:sz w:val="32"/>
          <w:szCs w:val="32"/>
          <w14:textFill>
            <w14:solidFill>
              <w14:schemeClr w14:val="tx1"/>
            </w14:solidFill>
          </w14:textFill>
        </w:rPr>
        <w:t xml:space="preserve">万元。与 </w:t>
      </w:r>
      <w:r>
        <w:rPr>
          <w:rFonts w:hint="eastAsia" w:ascii="宋体" w:hAnsi="宋体" w:eastAsia="仿宋_GB2312" w:cs="Times New Roman"/>
          <w:color w:val="000000" w:themeColor="text1"/>
          <w:sz w:val="32"/>
          <w:szCs w:val="32"/>
          <w:lang w:eastAsia="zh-CN"/>
          <w14:textFill>
            <w14:solidFill>
              <w14:schemeClr w14:val="tx1"/>
            </w14:solidFill>
          </w14:textFill>
        </w:rPr>
        <w:t>2020</w:t>
      </w:r>
      <w:r>
        <w:rPr>
          <w:rFonts w:hint="eastAsia" w:ascii="宋体" w:hAnsi="宋体" w:eastAsia="仿宋_GB2312" w:cs="Times New Roman"/>
          <w:color w:val="000000" w:themeColor="text1"/>
          <w:sz w:val="32"/>
          <w:szCs w:val="32"/>
          <w14:textFill>
            <w14:solidFill>
              <w14:schemeClr w14:val="tx1"/>
            </w14:solidFill>
          </w14:textFill>
        </w:rPr>
        <w:t xml:space="preserve"> 年相比，财政拨款收入总计减少</w:t>
      </w:r>
      <w:r>
        <w:rPr>
          <w:rFonts w:hint="eastAsia" w:ascii="仿宋" w:hAnsi="仿宋" w:eastAsia="仿宋" w:cs="仿宋"/>
          <w:color w:val="000000" w:themeColor="text1"/>
          <w:spacing w:val="2"/>
          <w:sz w:val="32"/>
          <w:szCs w:val="32"/>
          <w:lang w:val="en-US" w:eastAsia="zh-CN"/>
          <w14:textFill>
            <w14:solidFill>
              <w14:schemeClr w14:val="tx1"/>
            </w14:solidFill>
          </w14:textFill>
        </w:rPr>
        <w:t>25.48</w:t>
      </w:r>
      <w:r>
        <w:rPr>
          <w:rFonts w:hint="eastAsia" w:ascii="宋体" w:hAnsi="宋体" w:eastAsia="仿宋_GB2312" w:cs="Times New Roman"/>
          <w:color w:val="000000" w:themeColor="text1"/>
          <w:sz w:val="32"/>
          <w:szCs w:val="32"/>
          <w14:textFill>
            <w14:solidFill>
              <w14:schemeClr w14:val="tx1"/>
            </w14:solidFill>
          </w14:textFill>
        </w:rPr>
        <w:t>万元，降低</w:t>
      </w:r>
      <w:r>
        <w:rPr>
          <w:rFonts w:hint="eastAsia" w:ascii="宋体" w:hAnsi="宋体" w:eastAsia="仿宋_GB2312" w:cs="Times New Roman"/>
          <w:color w:val="000000" w:themeColor="text1"/>
          <w:sz w:val="32"/>
          <w:szCs w:val="32"/>
          <w:highlight w:val="none"/>
          <w:lang w:val="en-US" w:eastAsia="zh-CN"/>
          <w14:textFill>
            <w14:solidFill>
              <w14:schemeClr w14:val="tx1"/>
            </w14:solidFill>
          </w14:textFill>
        </w:rPr>
        <w:t>14.12</w:t>
      </w:r>
      <w:r>
        <w:rPr>
          <w:rFonts w:hint="eastAsia" w:ascii="宋体" w:hAnsi="宋体" w:eastAsia="仿宋_GB2312" w:cs="Times New Roman"/>
          <w:color w:val="000000" w:themeColor="text1"/>
          <w:sz w:val="32"/>
          <w:szCs w:val="32"/>
          <w14:textFill>
            <w14:solidFill>
              <w14:schemeClr w14:val="tx1"/>
            </w14:solidFill>
          </w14:textFill>
        </w:rPr>
        <w:t>%。主要原因是：</w:t>
      </w:r>
      <w:r>
        <w:rPr>
          <w:rFonts w:hint="eastAsia" w:ascii="宋体" w:hAnsi="宋体" w:eastAsia="仿宋_GB2312" w:cs="Times New Roman"/>
          <w:color w:val="000000" w:themeColor="text1"/>
          <w:sz w:val="32"/>
          <w:szCs w:val="32"/>
          <w:highlight w:val="none"/>
          <w:lang w:val="en-US" w:eastAsia="zh-CN"/>
          <w14:textFill>
            <w14:solidFill>
              <w14:schemeClr w14:val="tx1"/>
            </w14:solidFill>
          </w14:textFill>
        </w:rPr>
        <w:t>人员调整调出3人，工资减少21.89万元。</w:t>
      </w:r>
    </w:p>
    <w:p>
      <w:pPr>
        <w:spacing w:line="204" w:lineRule="auto"/>
        <w:jc w:val="left"/>
        <w:rPr>
          <w:rFonts w:ascii="楷体" w:hAnsi="楷体" w:eastAsia="楷体" w:cs="楷体"/>
          <w:color w:val="000000" w:themeColor="text1"/>
          <w:spacing w:val="-3"/>
          <w:sz w:val="32"/>
          <w:szCs w:val="32"/>
          <w14:textFill>
            <w14:solidFill>
              <w14:schemeClr w14:val="tx1"/>
            </w14:solidFill>
          </w14:textFill>
        </w:rPr>
      </w:pPr>
      <w:r>
        <w:rPr>
          <w:rFonts w:hint="eastAsia" w:ascii="楷体" w:hAnsi="楷体" w:eastAsia="楷体" w:cs="楷体"/>
          <w:color w:val="000000" w:themeColor="text1"/>
          <w:spacing w:val="-3"/>
          <w:sz w:val="32"/>
          <w:szCs w:val="32"/>
          <w14:textFill>
            <w14:solidFill>
              <w14:schemeClr w14:val="tx1"/>
            </w14:solidFill>
          </w14:textFill>
        </w:rPr>
        <w:t>五、一般公共预算财政拨款支出决算情况说明</w:t>
      </w:r>
      <w:bookmarkEnd w:id="12"/>
      <w:bookmarkEnd w:id="13"/>
    </w:p>
    <w:p>
      <w:pPr>
        <w:rPr>
          <w:rFonts w:ascii="宋体" w:hAnsi="宋体" w:eastAsia="仿宋_GB2312" w:cs="Times New Roman"/>
          <w:color w:val="000000" w:themeColor="text1"/>
          <w:sz w:val="32"/>
          <w:szCs w:val="32"/>
          <w14:textFill>
            <w14:solidFill>
              <w14:schemeClr w14:val="tx1"/>
            </w14:solidFill>
          </w14:textFill>
        </w:rPr>
      </w:pPr>
      <w:r>
        <w:rPr>
          <w:rFonts w:hint="eastAsia" w:ascii="宋体" w:hAnsi="宋体" w:eastAsia="仿宋_GB2312" w:cs="Times New Roman"/>
          <w:color w:val="000000" w:themeColor="text1"/>
          <w:sz w:val="32"/>
          <w:szCs w:val="32"/>
          <w14:textFill>
            <w14:solidFill>
              <w14:schemeClr w14:val="tx1"/>
            </w14:solidFill>
          </w14:textFill>
        </w:rPr>
        <w:t>1.财政拨款支出决算总体情况</w:t>
      </w:r>
    </w:p>
    <w:p>
      <w:pPr>
        <w:spacing w:line="204" w:lineRule="auto"/>
        <w:ind w:firstLine="667"/>
        <w:jc w:val="left"/>
        <w:rPr>
          <w:rFonts w:ascii="宋体" w:hAnsi="宋体" w:eastAsia="仿宋_GB2312" w:cs="Times New Roman"/>
          <w:color w:val="000000" w:themeColor="text1"/>
          <w:sz w:val="32"/>
          <w:szCs w:val="32"/>
          <w:highlight w:val="red"/>
          <w14:textFill>
            <w14:solidFill>
              <w14:schemeClr w14:val="tx1"/>
            </w14:solidFill>
          </w14:textFill>
        </w:rPr>
      </w:pPr>
      <w:r>
        <w:rPr>
          <w:rFonts w:hint="eastAsia" w:ascii="宋体" w:hAnsi="宋体" w:eastAsia="仿宋_GB2312" w:cs="Times New Roman"/>
          <w:color w:val="000000" w:themeColor="text1"/>
          <w:sz w:val="32"/>
          <w:szCs w:val="32"/>
          <w:lang w:eastAsia="zh-CN"/>
          <w14:textFill>
            <w14:solidFill>
              <w14:schemeClr w14:val="tx1"/>
            </w14:solidFill>
          </w14:textFill>
        </w:rPr>
        <w:t>2021</w:t>
      </w:r>
      <w:r>
        <w:rPr>
          <w:rFonts w:hint="eastAsia" w:ascii="宋体" w:hAnsi="宋体" w:eastAsia="仿宋_GB2312" w:cs="Times New Roman"/>
          <w:color w:val="000000" w:themeColor="text1"/>
          <w:sz w:val="32"/>
          <w:szCs w:val="32"/>
          <w14:textFill>
            <w14:solidFill>
              <w14:schemeClr w14:val="tx1"/>
            </w14:solidFill>
          </w14:textFill>
        </w:rPr>
        <w:t xml:space="preserve"> 年度财政拨款支出</w:t>
      </w:r>
      <w:r>
        <w:rPr>
          <w:rFonts w:hint="eastAsia" w:ascii="仿宋" w:hAnsi="仿宋" w:eastAsia="仿宋" w:cs="仿宋"/>
          <w:color w:val="000000" w:themeColor="text1"/>
          <w:sz w:val="32"/>
          <w:szCs w:val="32"/>
          <w:lang w:val="en-US" w:eastAsia="zh-CN"/>
          <w14:textFill>
            <w14:solidFill>
              <w14:schemeClr w14:val="tx1"/>
            </w14:solidFill>
          </w14:textFill>
        </w:rPr>
        <w:t>154.96</w:t>
      </w:r>
      <w:r>
        <w:rPr>
          <w:rFonts w:hint="eastAsia" w:ascii="宋体" w:hAnsi="宋体" w:eastAsia="仿宋_GB2312" w:cs="Times New Roman"/>
          <w:color w:val="000000" w:themeColor="text1"/>
          <w:sz w:val="32"/>
          <w:szCs w:val="32"/>
          <w14:textFill>
            <w14:solidFill>
              <w14:schemeClr w14:val="tx1"/>
            </w14:solidFill>
          </w14:textFill>
        </w:rPr>
        <w:t xml:space="preserve">万元，与 </w:t>
      </w:r>
      <w:r>
        <w:rPr>
          <w:rFonts w:hint="eastAsia" w:ascii="宋体" w:hAnsi="宋体" w:eastAsia="仿宋_GB2312" w:cs="Times New Roman"/>
          <w:color w:val="000000" w:themeColor="text1"/>
          <w:sz w:val="32"/>
          <w:szCs w:val="32"/>
          <w:lang w:eastAsia="zh-CN"/>
          <w14:textFill>
            <w14:solidFill>
              <w14:schemeClr w14:val="tx1"/>
            </w14:solidFill>
          </w14:textFill>
        </w:rPr>
        <w:t>2020</w:t>
      </w:r>
      <w:r>
        <w:rPr>
          <w:rFonts w:hint="eastAsia" w:ascii="宋体" w:hAnsi="宋体" w:eastAsia="仿宋_GB2312" w:cs="Times New Roman"/>
          <w:color w:val="000000" w:themeColor="text1"/>
          <w:sz w:val="32"/>
          <w:szCs w:val="32"/>
          <w14:textFill>
            <w14:solidFill>
              <w14:schemeClr w14:val="tx1"/>
            </w14:solidFill>
          </w14:textFill>
        </w:rPr>
        <w:t xml:space="preserve"> 年相比，财政拨款支出减少</w:t>
      </w:r>
      <w:r>
        <w:rPr>
          <w:rFonts w:ascii="仿宋" w:hAnsi="仿宋" w:eastAsia="仿宋" w:cs="仿宋"/>
          <w:color w:val="000000" w:themeColor="text1"/>
          <w:spacing w:val="-34"/>
          <w:sz w:val="32"/>
          <w:szCs w:val="32"/>
          <w14:textFill>
            <w14:solidFill>
              <w14:schemeClr w14:val="tx1"/>
            </w14:solidFill>
          </w14:textFill>
        </w:rPr>
        <w:t xml:space="preserve"> </w:t>
      </w:r>
      <w:r>
        <w:rPr>
          <w:rFonts w:hint="eastAsia" w:ascii="仿宋" w:hAnsi="仿宋" w:eastAsia="仿宋" w:cs="仿宋"/>
          <w:color w:val="000000" w:themeColor="text1"/>
          <w:spacing w:val="2"/>
          <w:sz w:val="32"/>
          <w:szCs w:val="32"/>
          <w:lang w:val="en-US" w:eastAsia="zh-CN"/>
          <w14:textFill>
            <w14:solidFill>
              <w14:schemeClr w14:val="tx1"/>
            </w14:solidFill>
          </w14:textFill>
        </w:rPr>
        <w:t>25.48</w:t>
      </w:r>
      <w:r>
        <w:rPr>
          <w:rFonts w:hint="eastAsia" w:ascii="宋体" w:hAnsi="宋体" w:eastAsia="仿宋_GB2312" w:cs="Times New Roman"/>
          <w:color w:val="000000" w:themeColor="text1"/>
          <w:sz w:val="32"/>
          <w:szCs w:val="32"/>
          <w14:textFill>
            <w14:solidFill>
              <w14:schemeClr w14:val="tx1"/>
            </w14:solidFill>
          </w14:textFill>
        </w:rPr>
        <w:t>万元。主要原因是：</w:t>
      </w:r>
      <w:r>
        <w:rPr>
          <w:rFonts w:hint="eastAsia" w:ascii="宋体" w:hAnsi="宋体" w:eastAsia="仿宋_GB2312" w:cs="Times New Roman"/>
          <w:color w:val="000000" w:themeColor="text1"/>
          <w:sz w:val="32"/>
          <w:szCs w:val="32"/>
          <w:highlight w:val="none"/>
          <w:lang w:val="en-US" w:eastAsia="zh-CN"/>
          <w14:textFill>
            <w14:solidFill>
              <w14:schemeClr w14:val="tx1"/>
            </w14:solidFill>
          </w14:textFill>
        </w:rPr>
        <w:t>人员调整调出3人，工资减少21.89万元。</w:t>
      </w:r>
    </w:p>
    <w:p>
      <w:pPr>
        <w:rPr>
          <w:rFonts w:ascii="宋体" w:hAnsi="宋体" w:eastAsia="仿宋_GB2312" w:cs="Times New Roman"/>
          <w:color w:val="000000" w:themeColor="text1"/>
          <w:sz w:val="32"/>
          <w:szCs w:val="32"/>
          <w:highlight w:val="none"/>
          <w14:textFill>
            <w14:solidFill>
              <w14:schemeClr w14:val="tx1"/>
            </w14:solidFill>
          </w14:textFill>
        </w:rPr>
      </w:pPr>
      <w:r>
        <w:rPr>
          <w:rFonts w:hint="eastAsia" w:ascii="宋体" w:hAnsi="宋体" w:eastAsia="仿宋_GB2312" w:cs="Times New Roman"/>
          <w:color w:val="000000" w:themeColor="text1"/>
          <w:sz w:val="32"/>
          <w:szCs w:val="32"/>
          <w14:textFill>
            <w14:solidFill>
              <w14:schemeClr w14:val="tx1"/>
            </w14:solidFill>
          </w14:textFill>
        </w:rPr>
        <w:t>2</w:t>
      </w:r>
      <w:r>
        <w:rPr>
          <w:rFonts w:hint="eastAsia" w:ascii="宋体" w:hAnsi="宋体" w:eastAsia="仿宋_GB2312" w:cs="Times New Roman"/>
          <w:color w:val="000000" w:themeColor="text1"/>
          <w:sz w:val="32"/>
          <w:szCs w:val="32"/>
          <w:highlight w:val="none"/>
          <w14:textFill>
            <w14:solidFill>
              <w14:schemeClr w14:val="tx1"/>
            </w14:solidFill>
          </w14:textFill>
        </w:rPr>
        <w:t>.财政拨款支出决算结构情况</w:t>
      </w:r>
    </w:p>
    <w:p>
      <w:pPr>
        <w:spacing w:line="360" w:lineRule="auto"/>
        <w:ind w:firstLine="640" w:firstLineChars="200"/>
        <w:rPr>
          <w:rFonts w:ascii="仿宋" w:hAnsi="仿宋" w:eastAsia="仿宋" w:cs="仿宋"/>
          <w:sz w:val="32"/>
          <w:szCs w:val="32"/>
          <w:highlight w:val="none"/>
        </w:rPr>
      </w:pPr>
      <w:bookmarkStart w:id="14" w:name="_Toc1066_WPSOffice_Level2"/>
      <w:bookmarkStart w:id="15" w:name="_Toc27424_WPSOffice_Level2"/>
      <w:r>
        <w:rPr>
          <w:rFonts w:hint="eastAsia" w:ascii="宋体" w:hAnsi="宋体" w:eastAsia="仿宋_GB2312" w:cs="Times New Roman"/>
          <w:color w:val="000000" w:themeColor="text1"/>
          <w:sz w:val="32"/>
          <w:szCs w:val="32"/>
          <w:highlight w:val="none"/>
          <w:lang w:eastAsia="zh-CN"/>
          <w14:textFill>
            <w14:solidFill>
              <w14:schemeClr w14:val="tx1"/>
            </w14:solidFill>
          </w14:textFill>
        </w:rPr>
        <w:t>2021</w:t>
      </w:r>
      <w:r>
        <w:rPr>
          <w:rFonts w:hint="eastAsia" w:ascii="宋体" w:hAnsi="宋体" w:eastAsia="仿宋_GB2312" w:cs="Times New Roman"/>
          <w:color w:val="000000" w:themeColor="text1"/>
          <w:sz w:val="32"/>
          <w:szCs w:val="32"/>
          <w:highlight w:val="none"/>
          <w14:textFill>
            <w14:solidFill>
              <w14:schemeClr w14:val="tx1"/>
            </w14:solidFill>
          </w14:textFill>
        </w:rPr>
        <w:t xml:space="preserve"> 年度财政拨款支出</w:t>
      </w:r>
      <w:r>
        <w:rPr>
          <w:rFonts w:hint="eastAsia" w:ascii="仿宋" w:hAnsi="仿宋" w:eastAsia="仿宋" w:cs="仿宋"/>
          <w:color w:val="000000" w:themeColor="text1"/>
          <w:sz w:val="32"/>
          <w:szCs w:val="32"/>
          <w:highlight w:val="none"/>
          <w:lang w:val="en-US" w:eastAsia="zh-CN"/>
          <w14:textFill>
            <w14:solidFill>
              <w14:schemeClr w14:val="tx1"/>
            </w14:solidFill>
          </w14:textFill>
        </w:rPr>
        <w:t>154.96</w:t>
      </w:r>
      <w:r>
        <w:rPr>
          <w:rFonts w:hint="eastAsia" w:ascii="宋体" w:hAnsi="宋体" w:eastAsia="仿宋_GB2312" w:cs="Times New Roman"/>
          <w:color w:val="000000" w:themeColor="text1"/>
          <w:sz w:val="32"/>
          <w:szCs w:val="32"/>
          <w:highlight w:val="none"/>
          <w14:textFill>
            <w14:solidFill>
              <w14:schemeClr w14:val="tx1"/>
            </w14:solidFill>
          </w14:textFill>
        </w:rPr>
        <w:t>万元，主要用于以下方面：</w:t>
      </w:r>
      <w:r>
        <w:rPr>
          <w:rFonts w:hint="eastAsia" w:ascii="宋体" w:hAnsi="宋体" w:eastAsia="仿宋_GB2312" w:cs="Times New Roman"/>
          <w:color w:val="000000" w:themeColor="text1"/>
          <w:sz w:val="32"/>
          <w:szCs w:val="32"/>
          <w:highlight w:val="none"/>
          <w:lang w:val="en-US" w:eastAsia="zh-CN"/>
          <w14:textFill>
            <w14:solidFill>
              <w14:schemeClr w14:val="tx1"/>
            </w14:solidFill>
          </w14:textFill>
        </w:rPr>
        <w:t>2013401行政运行支出134.60万元，占86.86%；2013402一般行政管理事务支出3万元，占1.94%；2013404宗教事务支出13.31万元，占8.59%；22</w:t>
      </w:r>
      <w:r>
        <w:rPr>
          <w:rFonts w:hint="eastAsia" w:ascii="宋体" w:hAnsi="宋体" w:eastAsia="仿宋_GB2312" w:cs="Times New Roman"/>
          <w:sz w:val="32"/>
          <w:szCs w:val="32"/>
          <w:highlight w:val="none"/>
          <w:lang w:val="en-US" w:eastAsia="zh-CN"/>
        </w:rPr>
        <w:t>99999其他支出支出4.05万元，</w:t>
      </w:r>
      <w:r>
        <w:rPr>
          <w:rFonts w:hint="eastAsia" w:ascii="宋体" w:hAnsi="宋体" w:eastAsia="仿宋_GB2312" w:cs="Times New Roman"/>
          <w:sz w:val="32"/>
          <w:szCs w:val="32"/>
          <w:highlight w:val="none"/>
        </w:rPr>
        <w:t>占</w:t>
      </w:r>
      <w:r>
        <w:rPr>
          <w:rFonts w:hint="eastAsia" w:ascii="宋体" w:hAnsi="宋体" w:eastAsia="仿宋_GB2312" w:cs="Times New Roman"/>
          <w:sz w:val="32"/>
          <w:szCs w:val="32"/>
          <w:highlight w:val="none"/>
          <w:lang w:val="en-US" w:eastAsia="zh-CN"/>
        </w:rPr>
        <w:t>比2.61</w:t>
      </w:r>
      <w:r>
        <w:rPr>
          <w:rFonts w:hint="eastAsia" w:ascii="宋体" w:hAnsi="宋体" w:eastAsia="仿宋_GB2312" w:cs="Times New Roman"/>
          <w:sz w:val="32"/>
          <w:szCs w:val="32"/>
          <w:highlight w:val="none"/>
        </w:rPr>
        <w:t>%</w:t>
      </w:r>
      <w:r>
        <w:rPr>
          <w:rFonts w:hint="eastAsia" w:ascii="仿宋" w:hAnsi="仿宋" w:eastAsia="仿宋" w:cs="仿宋"/>
          <w:spacing w:val="4"/>
          <w:sz w:val="32"/>
          <w:szCs w:val="32"/>
          <w:highlight w:val="none"/>
        </w:rPr>
        <w:t>。</w:t>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40" w:firstLineChars="200"/>
        <w:rPr>
          <w:rFonts w:ascii="仿宋" w:hAnsi="仿宋" w:eastAsia="仿宋" w:cs="仿宋"/>
          <w:spacing w:val="4"/>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年度一般公共预算财政拨款支出当年调整预算数</w:t>
      </w:r>
      <w:r>
        <w:rPr>
          <w:rFonts w:hint="eastAsia" w:ascii="宋体" w:hAnsi="宋体" w:eastAsia="仿宋_GB2312" w:cs="Times New Roman"/>
          <w:sz w:val="32"/>
          <w:szCs w:val="32"/>
          <w:lang w:val="en-US" w:eastAsia="zh-CN"/>
        </w:rPr>
        <w:t>154.96</w:t>
      </w:r>
      <w:r>
        <w:rPr>
          <w:rFonts w:hint="eastAsia" w:ascii="宋体" w:hAnsi="宋体" w:eastAsia="仿宋_GB2312" w:cs="Times New Roman"/>
          <w:sz w:val="32"/>
          <w:szCs w:val="32"/>
        </w:rPr>
        <w:t>万元，支出决算为</w:t>
      </w:r>
      <w:r>
        <w:rPr>
          <w:rFonts w:hint="eastAsia" w:ascii="仿宋" w:hAnsi="仿宋" w:eastAsia="仿宋" w:cs="仿宋"/>
          <w:sz w:val="32"/>
          <w:szCs w:val="32"/>
          <w:lang w:val="en-US" w:eastAsia="zh-CN"/>
        </w:rPr>
        <w:t>154.96</w:t>
      </w:r>
      <w:r>
        <w:rPr>
          <w:rFonts w:hint="eastAsia" w:ascii="宋体" w:hAnsi="宋体" w:eastAsia="仿宋_GB2312" w:cs="Times New Roman"/>
          <w:sz w:val="32"/>
          <w:szCs w:val="32"/>
        </w:rPr>
        <w:t>万元，完成当年调整预算的</w:t>
      </w:r>
      <w:r>
        <w:rPr>
          <w:rFonts w:hint="eastAsia" w:ascii="宋体" w:hAnsi="宋体" w:eastAsia="仿宋_GB2312" w:cs="Times New Roman"/>
          <w:sz w:val="32"/>
          <w:szCs w:val="32"/>
          <w:lang w:val="en-US" w:eastAsia="zh-CN"/>
        </w:rPr>
        <w:t>100</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bookmarkEnd w:id="14"/>
      <w:bookmarkEnd w:id="15"/>
    </w:p>
    <w:p>
      <w:pPr>
        <w:ind w:firstLine="640" w:firstLineChars="200"/>
        <w:rPr>
          <w:rFonts w:hint="default" w:ascii="宋体" w:hAnsi="宋体" w:eastAsia="仿宋_GB2312" w:cs="Times New Roman"/>
          <w:sz w:val="32"/>
          <w:szCs w:val="32"/>
          <w:lang w:val="en-US" w:eastAsia="zh-CN"/>
        </w:rPr>
      </w:pPr>
      <w:bookmarkStart w:id="16" w:name="_Toc21993_WPSOffice_Level2"/>
      <w:bookmarkStart w:id="17" w:name="_Toc28951_WPSOffice_Level2"/>
      <w:r>
        <w:rPr>
          <w:rFonts w:hint="eastAsia" w:ascii="宋体" w:hAnsi="宋体" w:eastAsia="仿宋_GB2312" w:cs="Times New Roman"/>
          <w:color w:val="auto"/>
          <w:sz w:val="32"/>
          <w:szCs w:val="32"/>
          <w:lang w:eastAsia="zh-CN"/>
        </w:rPr>
        <w:t>2021</w:t>
      </w:r>
      <w:r>
        <w:rPr>
          <w:rFonts w:hint="eastAsia" w:ascii="宋体" w:hAnsi="宋体" w:eastAsia="仿宋_GB2312" w:cs="Times New Roman"/>
          <w:color w:val="auto"/>
          <w:sz w:val="32"/>
          <w:szCs w:val="32"/>
        </w:rPr>
        <w:t xml:space="preserve"> 年度财政拨款基本支出</w:t>
      </w:r>
      <w:r>
        <w:rPr>
          <w:rFonts w:hint="eastAsia" w:ascii="仿宋" w:hAnsi="仿宋" w:eastAsia="仿宋" w:cs="仿宋"/>
          <w:color w:val="auto"/>
          <w:spacing w:val="4"/>
          <w:sz w:val="32"/>
          <w:szCs w:val="32"/>
          <w:lang w:val="en-US" w:eastAsia="zh-CN"/>
        </w:rPr>
        <w:t>99.10</w:t>
      </w:r>
      <w:r>
        <w:rPr>
          <w:rFonts w:hint="eastAsia" w:ascii="宋体" w:hAnsi="宋体" w:eastAsia="仿宋_GB2312" w:cs="Times New Roman"/>
          <w:color w:val="auto"/>
          <w:sz w:val="32"/>
          <w:szCs w:val="32"/>
        </w:rPr>
        <w:t>万元，其中：人员经费</w:t>
      </w:r>
      <w:r>
        <w:rPr>
          <w:rFonts w:hint="eastAsia" w:ascii="仿宋" w:hAnsi="仿宋" w:eastAsia="仿宋" w:cs="仿宋"/>
          <w:color w:val="auto"/>
          <w:spacing w:val="4"/>
          <w:sz w:val="32"/>
          <w:szCs w:val="32"/>
          <w:lang w:val="en-US" w:eastAsia="zh-CN"/>
        </w:rPr>
        <w:t>85.90</w:t>
      </w:r>
      <w:r>
        <w:rPr>
          <w:rFonts w:hint="eastAsia" w:ascii="宋体" w:hAnsi="宋体" w:eastAsia="仿宋_GB2312" w:cs="Times New Roman"/>
          <w:color w:val="auto"/>
          <w:sz w:val="32"/>
          <w:szCs w:val="32"/>
        </w:rPr>
        <w:t>万元，主要包括工资福利支出</w:t>
      </w:r>
      <w:r>
        <w:rPr>
          <w:rFonts w:hint="eastAsia" w:ascii="仿宋" w:hAnsi="仿宋" w:eastAsia="仿宋" w:cs="仿宋"/>
          <w:color w:val="auto"/>
          <w:spacing w:val="4"/>
          <w:sz w:val="32"/>
          <w:szCs w:val="32"/>
          <w:lang w:val="en-US" w:eastAsia="zh-CN"/>
        </w:rPr>
        <w:t>77.87</w:t>
      </w:r>
      <w:r>
        <w:rPr>
          <w:rFonts w:hint="eastAsia" w:ascii="宋体" w:hAnsi="宋体" w:eastAsia="仿宋_GB2312" w:cs="Times New Roman"/>
          <w:color w:val="auto"/>
          <w:sz w:val="32"/>
          <w:szCs w:val="32"/>
        </w:rPr>
        <w:t>万元和对个人和家庭的补助</w:t>
      </w:r>
      <w:r>
        <w:rPr>
          <w:rFonts w:hint="eastAsia" w:ascii="仿宋" w:hAnsi="仿宋" w:eastAsia="仿宋" w:cs="仿宋"/>
          <w:color w:val="auto"/>
          <w:spacing w:val="4"/>
          <w:sz w:val="32"/>
          <w:szCs w:val="32"/>
          <w:lang w:val="en-US" w:eastAsia="zh-CN"/>
        </w:rPr>
        <w:t>8.02</w:t>
      </w:r>
      <w:r>
        <w:rPr>
          <w:rFonts w:hint="eastAsia" w:ascii="宋体" w:hAnsi="宋体" w:eastAsia="仿宋_GB2312" w:cs="Times New Roman"/>
          <w:color w:val="auto"/>
          <w:sz w:val="32"/>
          <w:szCs w:val="32"/>
        </w:rPr>
        <w:t>万元；公用经费</w:t>
      </w:r>
      <w:r>
        <w:rPr>
          <w:rFonts w:hint="eastAsia" w:ascii="仿宋" w:hAnsi="仿宋" w:eastAsia="仿宋" w:cs="仿宋"/>
          <w:color w:val="auto"/>
          <w:spacing w:val="4"/>
          <w:sz w:val="32"/>
          <w:szCs w:val="32"/>
          <w:lang w:val="en-US" w:eastAsia="zh-CN"/>
        </w:rPr>
        <w:t>13.20</w:t>
      </w:r>
      <w:r>
        <w:rPr>
          <w:rFonts w:hint="eastAsia" w:ascii="宋体" w:hAnsi="宋体" w:eastAsia="仿宋_GB2312" w:cs="Times New Roman"/>
          <w:color w:val="auto"/>
          <w:sz w:val="32"/>
          <w:szCs w:val="32"/>
        </w:rPr>
        <w:t>万元，主要包括商品和服务支出</w:t>
      </w:r>
      <w:r>
        <w:rPr>
          <w:rFonts w:hint="eastAsia" w:ascii="宋体" w:hAnsi="宋体" w:eastAsia="仿宋_GB2312" w:cs="Times New Roman"/>
          <w:color w:val="auto"/>
          <w:sz w:val="32"/>
          <w:szCs w:val="32"/>
          <w:lang w:val="en-US" w:eastAsia="zh-CN"/>
        </w:rPr>
        <w:t>13.2</w:t>
      </w:r>
      <w:r>
        <w:rPr>
          <w:rFonts w:hint="eastAsia" w:ascii="宋体" w:hAnsi="宋体" w:eastAsia="仿宋_GB2312" w:cs="Times New Roman"/>
          <w:sz w:val="32"/>
          <w:szCs w:val="32"/>
          <w:lang w:val="en-US" w:eastAsia="zh-CN"/>
        </w:rPr>
        <w:t>0万元和资本性支出0万元。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bookmarkEnd w:id="16"/>
      <w:bookmarkEnd w:id="17"/>
    </w:p>
    <w:p>
      <w:pPr>
        <w:ind w:firstLine="640" w:firstLineChars="200"/>
        <w:rPr>
          <w:rFonts w:hint="default" w:ascii="宋体" w:hAnsi="宋体" w:eastAsia="仿宋_GB2312" w:cs="Times New Roman"/>
          <w:sz w:val="32"/>
          <w:szCs w:val="32"/>
          <w:highlight w:val="none"/>
          <w:lang w:val="en-US"/>
        </w:rPr>
      </w:pPr>
      <w:bookmarkStart w:id="18" w:name="_Toc9131_WPSOffice_Level2"/>
      <w:bookmarkStart w:id="19" w:name="_Toc10214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年“三公”经费一般公共</w:t>
      </w:r>
      <w:r>
        <w:rPr>
          <w:rFonts w:hint="eastAsia" w:ascii="宋体" w:hAnsi="宋体" w:eastAsia="仿宋_GB2312" w:cs="Times New Roman"/>
          <w:sz w:val="32"/>
          <w:szCs w:val="32"/>
          <w:lang w:eastAsia="zh-CN"/>
        </w:rPr>
        <w:t>预算</w:t>
      </w:r>
      <w:r>
        <w:rPr>
          <w:rFonts w:hint="eastAsia" w:ascii="宋体" w:hAnsi="宋体" w:eastAsia="仿宋_GB2312" w:cs="Times New Roman"/>
          <w:sz w:val="32"/>
          <w:szCs w:val="32"/>
        </w:rPr>
        <w:t>财政拨款支出</w:t>
      </w:r>
      <w:r>
        <w:rPr>
          <w:rFonts w:hint="eastAsia" w:ascii="宋体" w:hAnsi="宋体" w:eastAsia="仿宋_GB2312" w:cs="Times New Roman"/>
          <w:sz w:val="32"/>
          <w:szCs w:val="32"/>
          <w:lang w:eastAsia="zh-CN"/>
        </w:rPr>
        <w:t>预算数</w:t>
      </w:r>
      <w:r>
        <w:rPr>
          <w:rFonts w:hint="eastAsia" w:ascii="仿宋" w:hAnsi="仿宋" w:eastAsia="仿宋" w:cs="仿宋"/>
          <w:spacing w:val="4"/>
          <w:sz w:val="32"/>
          <w:szCs w:val="32"/>
          <w:highlight w:val="none"/>
          <w:lang w:val="en-US" w:eastAsia="zh-CN"/>
        </w:rPr>
        <w:t>0.2</w:t>
      </w:r>
      <w:r>
        <w:rPr>
          <w:rFonts w:hint="eastAsia" w:ascii="宋体" w:hAnsi="宋体" w:eastAsia="仿宋_GB2312" w:cs="Times New Roman"/>
          <w:sz w:val="32"/>
          <w:szCs w:val="32"/>
          <w:highlight w:val="none"/>
        </w:rPr>
        <w:t>万元，</w:t>
      </w:r>
      <w:r>
        <w:rPr>
          <w:rFonts w:hint="eastAsia" w:ascii="宋体" w:hAnsi="宋体" w:eastAsia="仿宋_GB2312" w:cs="Times New Roman"/>
          <w:sz w:val="32"/>
          <w:szCs w:val="32"/>
          <w:highlight w:val="none"/>
          <w:lang w:eastAsia="zh-CN"/>
        </w:rPr>
        <w:t>2021</w:t>
      </w:r>
      <w:r>
        <w:rPr>
          <w:rFonts w:hint="eastAsia" w:ascii="宋体" w:hAnsi="宋体" w:eastAsia="仿宋_GB2312" w:cs="Times New Roman"/>
          <w:sz w:val="32"/>
          <w:szCs w:val="32"/>
          <w:highlight w:val="none"/>
        </w:rPr>
        <w:t>年“三公”经费一般公共</w:t>
      </w:r>
      <w:r>
        <w:rPr>
          <w:rFonts w:hint="eastAsia" w:ascii="宋体" w:hAnsi="宋体" w:eastAsia="仿宋_GB2312" w:cs="Times New Roman"/>
          <w:sz w:val="32"/>
          <w:szCs w:val="32"/>
          <w:highlight w:val="none"/>
          <w:lang w:eastAsia="zh-CN"/>
        </w:rPr>
        <w:t>预算</w:t>
      </w:r>
      <w:r>
        <w:rPr>
          <w:rFonts w:hint="eastAsia" w:ascii="宋体" w:hAnsi="宋体" w:eastAsia="仿宋_GB2312" w:cs="Times New Roman"/>
          <w:sz w:val="32"/>
          <w:szCs w:val="32"/>
          <w:highlight w:val="none"/>
        </w:rPr>
        <w:t>财政拨款支出决算</w:t>
      </w:r>
      <w:r>
        <w:rPr>
          <w:rFonts w:hint="eastAsia" w:ascii="宋体" w:hAnsi="宋体" w:eastAsia="仿宋_GB2312" w:cs="Times New Roman"/>
          <w:sz w:val="32"/>
          <w:szCs w:val="32"/>
          <w:highlight w:val="none"/>
          <w:lang w:eastAsia="zh-CN"/>
        </w:rPr>
        <w:t>数</w:t>
      </w:r>
      <w:r>
        <w:rPr>
          <w:rFonts w:hint="eastAsia" w:ascii="仿宋" w:hAnsi="仿宋" w:eastAsia="仿宋" w:cs="仿宋"/>
          <w:spacing w:val="4"/>
          <w:sz w:val="32"/>
          <w:szCs w:val="32"/>
          <w:highlight w:val="none"/>
          <w:lang w:val="en-US" w:eastAsia="zh-CN"/>
        </w:rPr>
        <w:t>0</w:t>
      </w:r>
      <w:r>
        <w:rPr>
          <w:rFonts w:hint="eastAsia" w:ascii="宋体" w:hAnsi="宋体" w:eastAsia="仿宋_GB2312" w:cs="Times New Roman"/>
          <w:sz w:val="32"/>
          <w:szCs w:val="32"/>
          <w:highlight w:val="none"/>
        </w:rPr>
        <w:t>万元，</w:t>
      </w:r>
      <w:r>
        <w:rPr>
          <w:rFonts w:hint="eastAsia" w:ascii="宋体" w:hAnsi="宋体" w:eastAsia="仿宋_GB2312" w:cs="Times New Roman"/>
          <w:sz w:val="32"/>
          <w:szCs w:val="32"/>
          <w:highlight w:val="none"/>
          <w:lang w:val="en-US" w:eastAsia="zh-CN"/>
        </w:rPr>
        <w:t>2021年</w:t>
      </w:r>
      <w:r>
        <w:rPr>
          <w:rFonts w:hint="eastAsia" w:ascii="宋体" w:hAnsi="宋体" w:eastAsia="仿宋_GB2312" w:cs="Times New Roman"/>
          <w:sz w:val="32"/>
          <w:szCs w:val="32"/>
          <w:highlight w:val="none"/>
          <w:lang w:eastAsia="zh-CN"/>
        </w:rPr>
        <w:t>公务用车运行维护费由机关事务中心统一承担，与上年相比无变化。其中，因公出国（境）费用</w:t>
      </w:r>
      <w:r>
        <w:rPr>
          <w:rFonts w:hint="eastAsia" w:ascii="宋体" w:hAnsi="宋体" w:eastAsia="仿宋_GB2312" w:cs="Times New Roman"/>
          <w:sz w:val="32"/>
          <w:szCs w:val="32"/>
          <w:highlight w:val="none"/>
          <w:lang w:val="en-US" w:eastAsia="zh-CN"/>
        </w:rPr>
        <w:t>0万元，与上年相比无变化；公务接待费0万元，与上年相比无变化；公车购置费0万元，与上年相比无变化；公车运行费0万元，与上年相比无变化。</w:t>
      </w:r>
      <w:bookmarkStart w:id="22" w:name="_GoBack"/>
      <w:bookmarkEnd w:id="22"/>
    </w:p>
    <w:bookmarkEnd w:id="18"/>
    <w:bookmarkEnd w:id="19"/>
    <w:p>
      <w:pPr>
        <w:numPr>
          <w:ilvl w:val="0"/>
          <w:numId w:val="2"/>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ind w:firstLine="640" w:firstLineChars="200"/>
        <w:rPr>
          <w:rFonts w:ascii="宋体" w:hAnsi="宋体" w:eastAsia="仿宋_GB2312" w:cs="Times New Roman"/>
          <w:sz w:val="32"/>
          <w:szCs w:val="32"/>
        </w:rPr>
      </w:pPr>
      <w:r>
        <w:rPr>
          <w:rFonts w:hint="eastAsia" w:ascii="仿宋_GB2312" w:eastAsia="仿宋_GB2312"/>
          <w:sz w:val="32"/>
          <w:szCs w:val="32"/>
          <w:lang w:eastAsia="zh-CN"/>
        </w:rPr>
        <w:t>我单位今年和上年均不涉及政府性基金。</w:t>
      </w:r>
    </w:p>
    <w:p>
      <w:pPr>
        <w:numPr>
          <w:ilvl w:val="0"/>
          <w:numId w:val="2"/>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ind w:firstLine="640" w:firstLineChars="200"/>
        <w:rPr>
          <w:rFonts w:hint="default" w:ascii="宋体" w:hAnsi="宋体" w:eastAsia="仿宋_GB2312" w:cs="Times New Roman"/>
          <w:color w:val="000000" w:themeColor="text1"/>
          <w:sz w:val="32"/>
          <w:szCs w:val="32"/>
          <w:lang w:val="en-US"/>
          <w14:textFill>
            <w14:solidFill>
              <w14:schemeClr w14:val="tx1"/>
            </w14:solidFill>
          </w14:textFill>
        </w:rPr>
      </w:pPr>
      <w:r>
        <w:rPr>
          <w:rFonts w:hint="eastAsia" w:ascii="宋体" w:hAnsi="宋体" w:eastAsia="仿宋_GB2312" w:cs="Times New Roman"/>
          <w:color w:val="000000" w:themeColor="text1"/>
          <w:sz w:val="32"/>
          <w:szCs w:val="32"/>
          <w14:textFill>
            <w14:solidFill>
              <w14:schemeClr w14:val="tx1"/>
            </w14:solidFill>
          </w14:textFill>
        </w:rPr>
        <w:t>单位机关运行经费支出</w:t>
      </w:r>
      <w:r>
        <w:rPr>
          <w:rFonts w:hint="eastAsia" w:ascii="宋体" w:hAnsi="宋体" w:eastAsia="仿宋_GB2312" w:cs="Times New Roman"/>
          <w:color w:val="000000" w:themeColor="text1"/>
          <w:sz w:val="32"/>
          <w:szCs w:val="32"/>
          <w:lang w:val="en-US" w:eastAsia="zh-CN"/>
          <w14:textFill>
            <w14:solidFill>
              <w14:schemeClr w14:val="tx1"/>
            </w14:solidFill>
          </w14:textFill>
        </w:rPr>
        <w:t>13.20</w:t>
      </w:r>
      <w:r>
        <w:rPr>
          <w:rFonts w:hint="eastAsia" w:ascii="宋体" w:hAnsi="宋体" w:eastAsia="仿宋_GB2312" w:cs="Times New Roman"/>
          <w:color w:val="000000" w:themeColor="text1"/>
          <w:sz w:val="32"/>
          <w:szCs w:val="32"/>
          <w14:textFill>
            <w14:solidFill>
              <w14:schemeClr w14:val="tx1"/>
            </w14:solidFill>
          </w14:textFill>
        </w:rPr>
        <w:t>万元，比</w:t>
      </w:r>
      <w:r>
        <w:rPr>
          <w:rFonts w:hint="eastAsia" w:ascii="宋体" w:hAnsi="宋体" w:eastAsia="仿宋_GB2312" w:cs="Times New Roman"/>
          <w:color w:val="000000" w:themeColor="text1"/>
          <w:sz w:val="32"/>
          <w:szCs w:val="32"/>
          <w:lang w:eastAsia="zh-CN"/>
          <w14:textFill>
            <w14:solidFill>
              <w14:schemeClr w14:val="tx1"/>
            </w14:solidFill>
          </w14:textFill>
        </w:rPr>
        <w:t>2020</w:t>
      </w:r>
      <w:r>
        <w:rPr>
          <w:rFonts w:hint="eastAsia" w:ascii="宋体" w:hAnsi="宋体" w:eastAsia="仿宋_GB2312" w:cs="Times New Roman"/>
          <w:color w:val="000000" w:themeColor="text1"/>
          <w:sz w:val="32"/>
          <w:szCs w:val="32"/>
          <w14:textFill>
            <w14:solidFill>
              <w14:schemeClr w14:val="tx1"/>
            </w14:solidFill>
          </w14:textFill>
        </w:rPr>
        <w:t>年减少</w:t>
      </w:r>
      <w:r>
        <w:rPr>
          <w:rFonts w:hint="eastAsia" w:ascii="宋体" w:hAnsi="宋体" w:eastAsia="仿宋_GB2312" w:cs="Times New Roman"/>
          <w:color w:val="000000" w:themeColor="text1"/>
          <w:sz w:val="32"/>
          <w:szCs w:val="32"/>
          <w:lang w:val="en-US" w:eastAsia="zh-CN"/>
          <w14:textFill>
            <w14:solidFill>
              <w14:schemeClr w14:val="tx1"/>
            </w14:solidFill>
          </w14:textFill>
        </w:rPr>
        <w:t>56.61</w:t>
      </w:r>
      <w:r>
        <w:rPr>
          <w:rFonts w:hint="eastAsia" w:ascii="宋体" w:hAnsi="宋体" w:eastAsia="仿宋_GB2312" w:cs="Times New Roman"/>
          <w:color w:val="000000" w:themeColor="text1"/>
          <w:sz w:val="32"/>
          <w:szCs w:val="32"/>
          <w14:textFill>
            <w14:solidFill>
              <w14:schemeClr w14:val="tx1"/>
            </w14:solidFill>
          </w14:textFill>
        </w:rPr>
        <w:t>万元，</w:t>
      </w:r>
      <w:r>
        <w:rPr>
          <w:rFonts w:hint="eastAsia" w:ascii="宋体" w:hAnsi="宋体" w:eastAsia="仿宋_GB2312" w:cs="Times New Roman"/>
          <w:color w:val="000000" w:themeColor="text1"/>
          <w:sz w:val="32"/>
          <w:szCs w:val="32"/>
          <w:highlight w:val="none"/>
          <w14:textFill>
            <w14:solidFill>
              <w14:schemeClr w14:val="tx1"/>
            </w14:solidFill>
          </w14:textFill>
        </w:rPr>
        <w:t>降低</w:t>
      </w:r>
      <w:r>
        <w:rPr>
          <w:rFonts w:hint="eastAsia" w:ascii="宋体" w:hAnsi="宋体" w:eastAsia="仿宋_GB2312" w:cs="Times New Roman"/>
          <w:color w:val="000000" w:themeColor="text1"/>
          <w:sz w:val="32"/>
          <w:szCs w:val="32"/>
          <w:highlight w:val="none"/>
          <w:lang w:val="en-US" w:eastAsia="zh-CN"/>
          <w14:textFill>
            <w14:solidFill>
              <w14:schemeClr w14:val="tx1"/>
            </w14:solidFill>
          </w14:textFill>
        </w:rPr>
        <w:t>81.09</w:t>
      </w:r>
      <w:r>
        <w:rPr>
          <w:rFonts w:hint="eastAsia" w:ascii="宋体" w:hAnsi="宋体" w:eastAsia="仿宋_GB2312" w:cs="Times New Roman"/>
          <w:color w:val="000000" w:themeColor="text1"/>
          <w:sz w:val="32"/>
          <w:szCs w:val="32"/>
          <w:highlight w:val="none"/>
          <w14:textFill>
            <w14:solidFill>
              <w14:schemeClr w14:val="tx1"/>
            </w14:solidFill>
          </w14:textFill>
        </w:rPr>
        <w:t>%</w:t>
      </w:r>
      <w:r>
        <w:rPr>
          <w:rFonts w:hint="eastAsia" w:ascii="宋体" w:hAnsi="宋体" w:eastAsia="仿宋_GB2312" w:cs="Times New Roman"/>
          <w:color w:val="000000" w:themeColor="text1"/>
          <w:sz w:val="32"/>
          <w:szCs w:val="32"/>
          <w14:textFill>
            <w14:solidFill>
              <w14:schemeClr w14:val="tx1"/>
            </w14:solidFill>
          </w14:textFill>
        </w:rPr>
        <w:t>，主要原因是</w:t>
      </w:r>
      <w:r>
        <w:rPr>
          <w:rFonts w:hint="eastAsia" w:ascii="宋体" w:hAnsi="宋体" w:eastAsia="仿宋_GB2312" w:cs="Times New Roman"/>
          <w:color w:val="000000" w:themeColor="text1"/>
          <w:sz w:val="32"/>
          <w:szCs w:val="32"/>
          <w:lang w:eastAsia="zh-CN"/>
          <w14:textFill>
            <w14:solidFill>
              <w14:schemeClr w14:val="tx1"/>
            </w14:solidFill>
          </w14:textFill>
        </w:rPr>
        <w:t>：</w:t>
      </w:r>
      <w:r>
        <w:rPr>
          <w:rFonts w:hint="eastAsia" w:ascii="宋体" w:hAnsi="宋体" w:eastAsia="仿宋_GB2312" w:cs="Times New Roman"/>
          <w:color w:val="000000" w:themeColor="text1"/>
          <w:sz w:val="32"/>
          <w:szCs w:val="32"/>
          <w:lang w:val="en-US" w:eastAsia="zh-CN"/>
          <w14:textFill>
            <w14:solidFill>
              <w14:schemeClr w14:val="tx1"/>
            </w14:solidFill>
          </w14:textFill>
        </w:rPr>
        <w:t>2020年与本年统计口径不一致，2020年把项目经费包含其中。</w:t>
      </w:r>
    </w:p>
    <w:p>
      <w:pPr>
        <w:spacing w:line="204" w:lineRule="auto"/>
        <w:jc w:val="left"/>
        <w:rPr>
          <w:rFonts w:ascii="楷体" w:hAnsi="楷体" w:eastAsia="楷体" w:cs="楷体"/>
          <w:color w:val="000000" w:themeColor="text1"/>
          <w:spacing w:val="-3"/>
          <w:sz w:val="32"/>
          <w:szCs w:val="32"/>
          <w14:textFill>
            <w14:solidFill>
              <w14:schemeClr w14:val="tx1"/>
            </w14:solidFill>
          </w14:textFill>
        </w:rPr>
      </w:pPr>
      <w:r>
        <w:rPr>
          <w:rFonts w:hint="eastAsia" w:ascii="楷体" w:hAnsi="楷体" w:eastAsia="楷体" w:cs="楷体"/>
          <w:color w:val="000000" w:themeColor="text1"/>
          <w:spacing w:val="-3"/>
          <w:sz w:val="32"/>
          <w:szCs w:val="32"/>
          <w14:textFill>
            <w14:solidFill>
              <w14:schemeClr w14:val="tx1"/>
            </w14:solidFill>
          </w14:textFill>
        </w:rPr>
        <w:t>2.政府采购支出情况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年我单位政府采购总额</w:t>
      </w:r>
      <w:r>
        <w:rPr>
          <w:rFonts w:hint="eastAsia" w:ascii="仿宋" w:hAnsi="仿宋" w:eastAsia="仿宋" w:cs="仿宋"/>
          <w:spacing w:val="4"/>
          <w:sz w:val="32"/>
          <w:szCs w:val="32"/>
          <w:lang w:val="en-US" w:eastAsia="zh-CN"/>
        </w:rPr>
        <w:t>10.77</w:t>
      </w:r>
      <w:r>
        <w:rPr>
          <w:rFonts w:hint="eastAsia" w:ascii="宋体" w:hAnsi="宋体" w:eastAsia="仿宋_GB2312" w:cs="Times New Roman"/>
          <w:sz w:val="32"/>
          <w:szCs w:val="32"/>
        </w:rPr>
        <w:t>万元，其中：政府采购货物</w:t>
      </w:r>
      <w:r>
        <w:rPr>
          <w:rFonts w:hint="eastAsia" w:ascii="仿宋" w:hAnsi="仿宋" w:eastAsia="仿宋" w:cs="仿宋"/>
          <w:spacing w:val="4"/>
          <w:sz w:val="32"/>
          <w:szCs w:val="32"/>
          <w:lang w:val="en-US" w:eastAsia="zh-CN"/>
        </w:rPr>
        <w:t>0.59</w:t>
      </w:r>
      <w:r>
        <w:rPr>
          <w:rFonts w:hint="eastAsia" w:ascii="宋体" w:hAnsi="宋体" w:eastAsia="仿宋_GB2312" w:cs="Times New Roman"/>
          <w:sz w:val="32"/>
          <w:szCs w:val="32"/>
        </w:rPr>
        <w:t>万元、政府采购工程</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万元、政府采购服务</w:t>
      </w:r>
      <w:r>
        <w:rPr>
          <w:rFonts w:hint="eastAsia" w:ascii="宋体" w:hAnsi="宋体" w:eastAsia="仿宋_GB2312" w:cs="Times New Roman"/>
          <w:sz w:val="32"/>
          <w:szCs w:val="32"/>
          <w:lang w:val="en-US" w:eastAsia="zh-CN"/>
        </w:rPr>
        <w:t>10.18</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3、国有资产占有情况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截至</w:t>
      </w: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年12月31日，本部门共有车辆</w:t>
      </w:r>
      <w:r>
        <w:rPr>
          <w:rFonts w:hint="eastAsia" w:ascii="宋体" w:hAnsi="宋体" w:eastAsia="仿宋_GB2312" w:cs="Times New Roman"/>
          <w:sz w:val="32"/>
          <w:szCs w:val="32"/>
          <w:lang w:val="en-US" w:eastAsia="zh-CN"/>
        </w:rPr>
        <w:t>1</w:t>
      </w:r>
      <w:r>
        <w:rPr>
          <w:rFonts w:hint="eastAsia" w:ascii="宋体" w:hAnsi="宋体" w:eastAsia="仿宋_GB2312" w:cs="Times New Roman"/>
          <w:sz w:val="32"/>
          <w:szCs w:val="32"/>
        </w:rPr>
        <w:t>辆，其中，其他用车</w:t>
      </w:r>
      <w:r>
        <w:rPr>
          <w:rFonts w:hint="eastAsia" w:ascii="宋体" w:hAnsi="宋体" w:eastAsia="仿宋_GB2312" w:cs="Times New Roman"/>
          <w:sz w:val="32"/>
          <w:szCs w:val="32"/>
          <w:lang w:val="en-US" w:eastAsia="zh-CN"/>
        </w:rPr>
        <w:t>1</w:t>
      </w:r>
      <w:r>
        <w:rPr>
          <w:rFonts w:hint="eastAsia" w:ascii="宋体" w:hAnsi="宋体" w:eastAsia="仿宋_GB2312" w:cs="Times New Roman"/>
          <w:sz w:val="32"/>
          <w:szCs w:val="32"/>
        </w:rPr>
        <w:t>辆，</w:t>
      </w:r>
      <w:r>
        <w:rPr>
          <w:rFonts w:hint="eastAsia" w:ascii="宋体" w:hAnsi="宋体" w:eastAsia="仿宋_GB2312" w:cs="Times New Roman"/>
          <w:sz w:val="32"/>
          <w:szCs w:val="32"/>
          <w:lang w:val="en-US" w:eastAsia="zh-CN"/>
        </w:rPr>
        <w:t>无</w:t>
      </w:r>
      <w:r>
        <w:rPr>
          <w:rFonts w:hint="eastAsia" w:ascii="宋体" w:hAnsi="宋体" w:eastAsia="仿宋_GB2312" w:cs="Times New Roman"/>
          <w:sz w:val="32"/>
          <w:szCs w:val="32"/>
        </w:rPr>
        <w:t>单价50万元（含）以上的通用设备，</w:t>
      </w:r>
      <w:r>
        <w:rPr>
          <w:rFonts w:hint="eastAsia" w:ascii="宋体" w:hAnsi="宋体" w:eastAsia="仿宋_GB2312" w:cs="Times New Roman"/>
          <w:sz w:val="32"/>
          <w:szCs w:val="32"/>
          <w:lang w:val="en-US" w:eastAsia="zh-CN"/>
        </w:rPr>
        <w:t>无</w:t>
      </w:r>
      <w:r>
        <w:rPr>
          <w:rFonts w:hint="eastAsia" w:ascii="宋体" w:hAnsi="宋体" w:eastAsia="仿宋_GB2312" w:cs="Times New Roman"/>
          <w:sz w:val="32"/>
          <w:szCs w:val="32"/>
        </w:rPr>
        <w:t>单价100万元（含）以上专用设备。</w:t>
      </w:r>
    </w:p>
    <w:p>
      <w:pPr>
        <w:numPr>
          <w:ilvl w:val="0"/>
          <w:numId w:val="3"/>
        </w:numPr>
        <w:spacing w:line="204" w:lineRule="auto"/>
        <w:jc w:val="left"/>
        <w:rPr>
          <w:rFonts w:ascii="楷体" w:hAnsi="楷体" w:eastAsia="楷体" w:cs="楷体"/>
          <w:spacing w:val="-3"/>
          <w:sz w:val="32"/>
          <w:szCs w:val="32"/>
          <w:highlight w:val="none"/>
        </w:rPr>
      </w:pPr>
      <w:r>
        <w:rPr>
          <w:rFonts w:hint="eastAsia" w:ascii="楷体" w:hAnsi="楷体" w:eastAsia="楷体" w:cs="楷体"/>
          <w:spacing w:val="-3"/>
          <w:sz w:val="32"/>
          <w:szCs w:val="32"/>
          <w:highlight w:val="none"/>
        </w:rPr>
        <w:t>绩效管理情况</w:t>
      </w:r>
    </w:p>
    <w:p>
      <w:pPr>
        <w:rPr>
          <w:rFonts w:ascii="宋体" w:hAnsi="宋体" w:eastAsia="仿宋_GB2312" w:cs="Times New Roman"/>
          <w:sz w:val="32"/>
          <w:szCs w:val="32"/>
          <w:highlight w:val="none"/>
        </w:rPr>
      </w:pPr>
      <w:r>
        <w:rPr>
          <w:rFonts w:hint="eastAsia" w:ascii="宋体" w:hAnsi="宋体" w:eastAsia="仿宋_GB2312" w:cs="Times New Roman"/>
          <w:sz w:val="32"/>
          <w:szCs w:val="32"/>
          <w:highlight w:val="none"/>
        </w:rPr>
        <w:t>(1)项目绩效评价工作开展情况，包括项目绩效目标、支出绩效评价等情况。</w:t>
      </w:r>
    </w:p>
    <w:p>
      <w:pPr>
        <w:ind w:firstLine="640" w:firstLineChars="200"/>
        <w:rPr>
          <w:rFonts w:hint="default" w:ascii="宋体" w:hAnsi="宋体" w:eastAsia="仿宋_GB2312" w:cs="Times New Roman"/>
          <w:sz w:val="32"/>
          <w:szCs w:val="32"/>
          <w:highlight w:val="none"/>
          <w:lang w:val="en-US" w:eastAsia="zh-CN"/>
        </w:rPr>
      </w:pPr>
      <w:r>
        <w:rPr>
          <w:rFonts w:hint="eastAsia" w:ascii="宋体" w:hAnsi="宋体" w:eastAsia="仿宋_GB2312" w:cs="Times New Roman"/>
          <w:sz w:val="32"/>
          <w:szCs w:val="32"/>
          <w:highlight w:val="none"/>
        </w:rPr>
        <w:t>应包括</w:t>
      </w:r>
      <w:r>
        <w:rPr>
          <w:rFonts w:hint="eastAsia" w:ascii="宋体" w:hAnsi="宋体" w:eastAsia="仿宋_GB2312" w:cs="Times New Roman"/>
          <w:sz w:val="32"/>
          <w:szCs w:val="32"/>
          <w:highlight w:val="none"/>
          <w:lang w:eastAsia="zh-CN"/>
        </w:rPr>
        <w:t>2021</w:t>
      </w:r>
      <w:r>
        <w:rPr>
          <w:rFonts w:hint="eastAsia" w:ascii="宋体" w:hAnsi="宋体" w:eastAsia="仿宋_GB2312" w:cs="Times New Roman"/>
          <w:sz w:val="32"/>
          <w:szCs w:val="32"/>
          <w:highlight w:val="none"/>
        </w:rPr>
        <w:t>年度单位实行绩效目标管理的项目</w:t>
      </w:r>
      <w:r>
        <w:rPr>
          <w:rFonts w:hint="eastAsia" w:ascii="宋体" w:hAnsi="宋体" w:eastAsia="仿宋_GB2312" w:cs="Times New Roman"/>
          <w:sz w:val="32"/>
          <w:szCs w:val="32"/>
          <w:highlight w:val="none"/>
          <w:lang w:val="en-US" w:eastAsia="zh-CN"/>
        </w:rPr>
        <w:t>5</w:t>
      </w:r>
      <w:r>
        <w:rPr>
          <w:rFonts w:hint="eastAsia" w:ascii="宋体" w:hAnsi="宋体" w:eastAsia="仿宋_GB2312" w:cs="Times New Roman"/>
          <w:sz w:val="32"/>
          <w:szCs w:val="32"/>
          <w:highlight w:val="none"/>
        </w:rPr>
        <w:t>个，</w:t>
      </w:r>
      <w:r>
        <w:rPr>
          <w:rFonts w:hint="eastAsia" w:ascii="宋体" w:hAnsi="宋体" w:eastAsia="仿宋_GB2312" w:cs="Times New Roman"/>
          <w:sz w:val="32"/>
          <w:szCs w:val="32"/>
          <w:highlight w:val="none"/>
          <w:lang w:val="en-US" w:eastAsia="zh-CN"/>
        </w:rPr>
        <w:t>统战工作经费30万元；宗教工作经费20万元；侨务工作经费7万元；寺观教堂维修费3万元；统战部2020年考核奖4.05万元。</w:t>
      </w:r>
    </w:p>
    <w:p>
      <w:pPr>
        <w:ind w:firstLine="640" w:firstLineChars="200"/>
        <w:rPr>
          <w:rFonts w:ascii="宋体" w:hAnsi="宋体" w:eastAsia="仿宋_GB2312" w:cs="Times New Roman"/>
          <w:sz w:val="32"/>
          <w:szCs w:val="32"/>
          <w:highlight w:val="none"/>
        </w:rPr>
      </w:pPr>
      <w:r>
        <w:rPr>
          <w:rFonts w:hint="eastAsia" w:ascii="宋体" w:hAnsi="宋体" w:eastAsia="仿宋_GB2312" w:cs="Times New Roman"/>
          <w:sz w:val="32"/>
          <w:szCs w:val="32"/>
          <w:highlight w:val="none"/>
        </w:rPr>
        <w:t>涉及一般公共预算当年拨款</w:t>
      </w:r>
      <w:r>
        <w:rPr>
          <w:rFonts w:hint="eastAsia" w:ascii="宋体" w:hAnsi="宋体" w:eastAsia="仿宋_GB2312" w:cs="Times New Roman"/>
          <w:sz w:val="32"/>
          <w:szCs w:val="32"/>
          <w:highlight w:val="none"/>
          <w:lang w:val="en-US" w:eastAsia="zh-CN"/>
        </w:rPr>
        <w:t>64.05</w:t>
      </w:r>
      <w:r>
        <w:rPr>
          <w:rFonts w:hint="eastAsia" w:ascii="宋体" w:hAnsi="宋体" w:eastAsia="仿宋_GB2312" w:cs="Times New Roman"/>
          <w:sz w:val="32"/>
          <w:szCs w:val="32"/>
          <w:highlight w:val="none"/>
        </w:rPr>
        <w:t>万元。</w:t>
      </w:r>
    </w:p>
    <w:p>
      <w:pPr>
        <w:rPr>
          <w:rFonts w:ascii="宋体" w:hAnsi="宋体" w:eastAsia="仿宋_GB2312" w:cs="Times New Roman"/>
          <w:sz w:val="32"/>
          <w:szCs w:val="32"/>
        </w:rPr>
      </w:pPr>
      <w:r>
        <w:rPr>
          <w:rFonts w:hint="eastAsia" w:ascii="宋体" w:hAnsi="宋体" w:eastAsia="仿宋_GB2312" w:cs="Times New Roman"/>
          <w:sz w:val="32"/>
          <w:szCs w:val="32"/>
        </w:rPr>
        <w:t>(2)绩效评价工作取得的成效。</w:t>
      </w:r>
    </w:p>
    <w:p>
      <w:pPr>
        <w:ind w:firstLine="640" w:firstLineChars="200"/>
        <w:rPr>
          <w:rFonts w:ascii="仿宋_GB2312" w:hAnsi="仿宋_GB2312" w:eastAsia="仿宋_GB2312" w:cs="仿宋_GB2312"/>
          <w:color w:val="FF0000"/>
          <w:kern w:val="0"/>
          <w:sz w:val="32"/>
          <w:szCs w:val="32"/>
          <w:highlight w:val="none"/>
        </w:rPr>
      </w:pPr>
      <w:r>
        <w:rPr>
          <w:rFonts w:hint="eastAsia" w:ascii="宋体" w:hAnsi="宋体" w:eastAsia="仿宋_GB2312" w:cs="Times New Roman"/>
          <w:color w:val="auto"/>
          <w:sz w:val="32"/>
          <w:szCs w:val="32"/>
          <w:highlight w:val="none"/>
          <w:lang w:val="en-US" w:eastAsia="zh-CN"/>
        </w:rPr>
        <w:t>通过开展项目绩效评价工作，我部严格执行部门内部的财务管理制度，全面落实财政预算资金绩效管理要求，严格控制资金使用的流程，达到资金的高效高质量使用</w:t>
      </w:r>
      <w:r>
        <w:rPr>
          <w:rFonts w:hint="eastAsia" w:ascii="宋体" w:hAnsi="宋体" w:eastAsia="仿宋_GB2312" w:cs="Times New Roman"/>
          <w:color w:val="FF0000"/>
          <w:sz w:val="32"/>
          <w:szCs w:val="32"/>
          <w:highlight w:val="none"/>
          <w:lang w:val="en-US" w:eastAsia="zh-CN"/>
        </w:rPr>
        <w:t>。</w:t>
      </w:r>
    </w:p>
    <w:p>
      <w:pPr>
        <w:spacing w:line="204" w:lineRule="auto"/>
        <w:jc w:val="left"/>
        <w:rPr>
          <w:rFonts w:ascii="楷体" w:hAnsi="楷体" w:eastAsia="楷体" w:cs="楷体"/>
          <w:spacing w:val="-3"/>
          <w:sz w:val="32"/>
          <w:szCs w:val="32"/>
          <w:highlight w:val="none"/>
        </w:rPr>
      </w:pPr>
      <w:r>
        <w:rPr>
          <w:rFonts w:hint="eastAsia" w:ascii="楷体" w:hAnsi="楷体" w:eastAsia="楷体" w:cs="楷体"/>
          <w:spacing w:val="-3"/>
          <w:sz w:val="32"/>
          <w:szCs w:val="32"/>
          <w:highlight w:val="none"/>
        </w:rPr>
        <w:t>5.政府购买服务指导性目录。</w:t>
      </w:r>
    </w:p>
    <w:p>
      <w:pPr>
        <w:spacing w:line="204" w:lineRule="auto"/>
        <w:ind w:firstLine="656" w:firstLineChars="200"/>
        <w:jc w:val="left"/>
        <w:rPr>
          <w:rFonts w:ascii="仿宋" w:hAnsi="仿宋" w:eastAsia="仿宋" w:cs="仿宋"/>
          <w:spacing w:val="4"/>
          <w:sz w:val="32"/>
          <w:szCs w:val="32"/>
        </w:rPr>
      </w:pPr>
      <w:r>
        <w:rPr>
          <w:rFonts w:hint="eastAsia" w:ascii="仿宋" w:hAnsi="仿宋" w:eastAsia="仿宋" w:cs="仿宋"/>
          <w:spacing w:val="4"/>
          <w:sz w:val="32"/>
          <w:szCs w:val="32"/>
        </w:rPr>
        <w:t>无</w:t>
      </w:r>
    </w:p>
    <w:p>
      <w:pPr>
        <w:ind w:firstLine="2808" w:firstLineChars="900"/>
        <w:outlineLvl w:val="0"/>
        <w:rPr>
          <w:rFonts w:ascii="黑体" w:hAnsi="黑体" w:eastAsia="黑体" w:cs="黑体"/>
          <w:snapToGrid w:val="0"/>
          <w:spacing w:val="-4"/>
          <w:kern w:val="0"/>
          <w:sz w:val="32"/>
          <w:szCs w:val="32"/>
        </w:rPr>
      </w:pPr>
      <w:bookmarkStart w:id="20" w:name="_Toc8549_WPSOffice_Level1"/>
      <w:bookmarkStart w:id="21" w:name="_Toc32537"/>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bookmarkEnd w:id="20"/>
      <w:bookmarkEnd w:id="21"/>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w:t>
      </w:r>
      <w:r>
        <w:rPr>
          <w:rFonts w:hint="eastAsia" w:ascii="仿宋" w:hAnsi="仿宋" w:eastAsia="仿宋" w:cs="仿宋"/>
          <w:spacing w:val="4"/>
          <w:sz w:val="32"/>
          <w:szCs w:val="32"/>
          <w:lang w:eastAsia="zh-CN"/>
        </w:rPr>
        <w:t>拨</w:t>
      </w:r>
      <w:r>
        <w:rPr>
          <w:rFonts w:hint="eastAsia" w:ascii="仿宋" w:hAnsi="仿宋" w:eastAsia="仿宋" w:cs="仿宋"/>
          <w:spacing w:val="4"/>
          <w:sz w:val="32"/>
          <w:szCs w:val="32"/>
        </w:rPr>
        <w:t>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E0828"/>
    <w:multiLevelType w:val="singleLevel"/>
    <w:tmpl w:val="0CAE0828"/>
    <w:lvl w:ilvl="0" w:tentative="0">
      <w:start w:val="8"/>
      <w:numFmt w:val="chineseCounting"/>
      <w:suff w:val="nothing"/>
      <w:lvlText w:val="%1、"/>
      <w:lvlJc w:val="left"/>
      <w:rPr>
        <w:rFonts w:hint="eastAsia"/>
      </w:rPr>
    </w:lvl>
  </w:abstractNum>
  <w:abstractNum w:abstractNumId="1">
    <w:nsid w:val="40B6F801"/>
    <w:multiLevelType w:val="singleLevel"/>
    <w:tmpl w:val="40B6F801"/>
    <w:lvl w:ilvl="0" w:tentative="0">
      <w:start w:val="4"/>
      <w:numFmt w:val="decimal"/>
      <w:lvlText w:val="%1."/>
      <w:lvlJc w:val="left"/>
      <w:pPr>
        <w:tabs>
          <w:tab w:val="left" w:pos="312"/>
        </w:tabs>
      </w:pPr>
    </w:lvl>
  </w:abstractNum>
  <w:abstractNum w:abstractNumId="2">
    <w:nsid w:val="6AF4BF66"/>
    <w:multiLevelType w:val="singleLevel"/>
    <w:tmpl w:val="6AF4BF66"/>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4Y2FkNTdkOWQ0NDM2YzEwNWYzMjQyMDA0ZDdlNzkifQ=="/>
  </w:docVars>
  <w:rsids>
    <w:rsidRoot w:val="7E3F0B7D"/>
    <w:rsid w:val="000014A7"/>
    <w:rsid w:val="00052B5B"/>
    <w:rsid w:val="00097279"/>
    <w:rsid w:val="00774AFB"/>
    <w:rsid w:val="00E4217F"/>
    <w:rsid w:val="06BF4168"/>
    <w:rsid w:val="08CB3B66"/>
    <w:rsid w:val="0B8A4481"/>
    <w:rsid w:val="0C704ACD"/>
    <w:rsid w:val="0CB679B8"/>
    <w:rsid w:val="0E115DFD"/>
    <w:rsid w:val="11D27EAE"/>
    <w:rsid w:val="135442FB"/>
    <w:rsid w:val="15C82745"/>
    <w:rsid w:val="15C96020"/>
    <w:rsid w:val="17626F2A"/>
    <w:rsid w:val="19AF2F90"/>
    <w:rsid w:val="1C6D4E44"/>
    <w:rsid w:val="1CCE366F"/>
    <w:rsid w:val="1CEC1B97"/>
    <w:rsid w:val="1EA802D1"/>
    <w:rsid w:val="1FA75856"/>
    <w:rsid w:val="1FC908AF"/>
    <w:rsid w:val="20D33EC0"/>
    <w:rsid w:val="20D97C1B"/>
    <w:rsid w:val="20F627FB"/>
    <w:rsid w:val="21F84118"/>
    <w:rsid w:val="23553F43"/>
    <w:rsid w:val="265E6096"/>
    <w:rsid w:val="29670ED3"/>
    <w:rsid w:val="299664C8"/>
    <w:rsid w:val="2C0140B4"/>
    <w:rsid w:val="2C83525F"/>
    <w:rsid w:val="2D6D210F"/>
    <w:rsid w:val="2FE1071D"/>
    <w:rsid w:val="3046763E"/>
    <w:rsid w:val="34977E60"/>
    <w:rsid w:val="34A54B0F"/>
    <w:rsid w:val="34E82374"/>
    <w:rsid w:val="35222F0A"/>
    <w:rsid w:val="36E9681D"/>
    <w:rsid w:val="37625508"/>
    <w:rsid w:val="38D84FD0"/>
    <w:rsid w:val="3A2B09D5"/>
    <w:rsid w:val="3EAD755D"/>
    <w:rsid w:val="3F28132A"/>
    <w:rsid w:val="3FEB394F"/>
    <w:rsid w:val="42BD7C93"/>
    <w:rsid w:val="49221B6F"/>
    <w:rsid w:val="4A993E10"/>
    <w:rsid w:val="4BDE465C"/>
    <w:rsid w:val="4CAC6A0B"/>
    <w:rsid w:val="4CC4718D"/>
    <w:rsid w:val="4DFE59E7"/>
    <w:rsid w:val="4E9361D0"/>
    <w:rsid w:val="4F107345"/>
    <w:rsid w:val="51F36B09"/>
    <w:rsid w:val="553B6A94"/>
    <w:rsid w:val="55A62DFB"/>
    <w:rsid w:val="55D37F21"/>
    <w:rsid w:val="57A32018"/>
    <w:rsid w:val="58A8162D"/>
    <w:rsid w:val="58C575AB"/>
    <w:rsid w:val="5B323C63"/>
    <w:rsid w:val="5CAA4485"/>
    <w:rsid w:val="5F462015"/>
    <w:rsid w:val="610F0A8B"/>
    <w:rsid w:val="62AD1527"/>
    <w:rsid w:val="63DC6088"/>
    <w:rsid w:val="6544153D"/>
    <w:rsid w:val="65F44EF4"/>
    <w:rsid w:val="664C3521"/>
    <w:rsid w:val="67754012"/>
    <w:rsid w:val="6886661E"/>
    <w:rsid w:val="68CD37BD"/>
    <w:rsid w:val="6996795F"/>
    <w:rsid w:val="69B33882"/>
    <w:rsid w:val="6C5D0572"/>
    <w:rsid w:val="6C940C35"/>
    <w:rsid w:val="6D9B3AD4"/>
    <w:rsid w:val="6E2D5994"/>
    <w:rsid w:val="6E471430"/>
    <w:rsid w:val="70BB7582"/>
    <w:rsid w:val="71AD4FDC"/>
    <w:rsid w:val="75731C89"/>
    <w:rsid w:val="765606D8"/>
    <w:rsid w:val="77756254"/>
    <w:rsid w:val="7B091AC9"/>
    <w:rsid w:val="7B93673F"/>
    <w:rsid w:val="7E3F0B7D"/>
    <w:rsid w:val="7F0F40ED"/>
    <w:rsid w:val="7F3F15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WPSOffice手动目录 1"/>
    <w:qFormat/>
    <w:uiPriority w:val="0"/>
    <w:rPr>
      <w:rFonts w:ascii="Times New Roman" w:hAnsi="Times New Roman" w:eastAsia="宋体" w:cs="Times New Roman"/>
      <w:lang w:val="en-US" w:eastAsia="zh-CN" w:bidi="ar-SA"/>
    </w:rPr>
  </w:style>
  <w:style w:type="paragraph" w:customStyle="1" w:styleId="9">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3500</Words>
  <Characters>3841</Characters>
  <Lines>5</Lines>
  <Paragraphs>7</Paragraphs>
  <TotalTime>44</TotalTime>
  <ScaleCrop>false</ScaleCrop>
  <LinksUpToDate>false</LinksUpToDate>
  <CharactersWithSpaces>3905</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2021-10-28T10:29:00Z</dcterms:created>
  <dc:creator>Administrator</dc:creator>
  <cp:lastModifiedBy>Administrator</cp:lastModifiedBy>
  <cp:lastPrinted>2021-10-28T11:45:00Z</cp:lastPrinted>
  <dcterms:modified xsi:type="dcterms:W3CDTF">2022-09-19T08:28:01Z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7C4C588F7AD344A38E1A84EAF5B2D861</vt:lpwstr>
  </property>
</Properties>
</file>