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朔城区人民代表大会常务委员会</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保证宪法、法律、行政法规和上级人民代表大会及其常委会决议的遵守和执行。2、召集区人民代表大会会议。3、讨论、决定本行政区域内的政治、经济、教育、科学、文化、卫生、环境和资源保护、民政、民族等工作的重大事项；根据区人民政府的建议，决定全区国民经济和社会发展计划、预算的部分变更。4、监督区人民政府、区监察委员会、区人民法院、区人民检察院的工作，联系区人大代表。5、依法进行人事任免。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8</w:t>
      </w:r>
      <w:r>
        <w:rPr>
          <w:rFonts w:hint="eastAsia" w:ascii="宋体" w:hAnsi="宋体" w:eastAsia="仿宋_GB2312" w:cs="Times New Roman"/>
          <w:sz w:val="32"/>
          <w:szCs w:val="32"/>
        </w:rPr>
        <w:t>个</w:t>
      </w:r>
      <w:r>
        <w:rPr>
          <w:rFonts w:hint="eastAsia" w:ascii="宋体" w:hAnsi="宋体" w:eastAsia="仿宋_GB2312" w:cs="Times New Roman"/>
          <w:sz w:val="32"/>
          <w:szCs w:val="32"/>
          <w:lang w:eastAsia="zh-CN"/>
        </w:rPr>
        <w:t>委</w:t>
      </w:r>
      <w:r>
        <w:rPr>
          <w:rFonts w:hint="eastAsia" w:ascii="宋体" w:hAnsi="宋体" w:eastAsia="仿宋_GB2312" w:cs="Times New Roman"/>
          <w:sz w:val="32"/>
          <w:szCs w:val="32"/>
        </w:rPr>
        <w:t>室，</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下属单位。从预算单位构成看，</w:t>
      </w:r>
      <w:r>
        <w:rPr>
          <w:rFonts w:hint="eastAsia" w:ascii="宋体" w:hAnsi="宋体" w:eastAsia="仿宋_GB2312" w:cs="Times New Roman"/>
          <w:sz w:val="32"/>
          <w:szCs w:val="32"/>
          <w:lang w:eastAsia="zh-CN"/>
        </w:rPr>
        <w:t>朔城区人大</w:t>
      </w:r>
      <w:r>
        <w:rPr>
          <w:rFonts w:hint="eastAsia" w:ascii="宋体" w:hAnsi="宋体" w:eastAsia="仿宋_GB2312" w:cs="Times New Roman"/>
          <w:sz w:val="32"/>
          <w:szCs w:val="32"/>
        </w:rPr>
        <w:t>部门决算</w:t>
      </w:r>
      <w:r>
        <w:rPr>
          <w:rFonts w:hint="eastAsia" w:ascii="宋体" w:hAnsi="宋体" w:eastAsia="仿宋_GB2312" w:cs="Times New Roman"/>
          <w:sz w:val="32"/>
          <w:szCs w:val="32"/>
          <w:lang w:eastAsia="zh-CN"/>
        </w:rPr>
        <w:t>只</w:t>
      </w:r>
      <w:r>
        <w:rPr>
          <w:rFonts w:hint="eastAsia" w:ascii="宋体" w:hAnsi="宋体" w:eastAsia="仿宋_GB2312" w:cs="Times New Roman"/>
          <w:sz w:val="32"/>
          <w:szCs w:val="32"/>
        </w:rPr>
        <w:t>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both"/>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442.11</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442.11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105.33</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105.33</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减少了</w:t>
      </w:r>
      <w:r>
        <w:rPr>
          <w:rFonts w:hint="eastAsia" w:ascii="宋体" w:hAnsi="宋体" w:eastAsia="仿宋_GB2312" w:cs="Times New Roman"/>
          <w:sz w:val="32"/>
          <w:szCs w:val="32"/>
          <w:lang w:val="en-US" w:eastAsia="zh-CN"/>
        </w:rPr>
        <w:t>联网监督平台建设费用。</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432.29</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432.09</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0.20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432.19</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295.32</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136.87</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both"/>
        <w:rPr>
          <w:rFonts w:hint="eastAsia" w:ascii="宋体" w:hAnsi="宋体" w:eastAsia="仿宋_GB2312" w:cs="Times New Roman"/>
          <w:sz w:val="32"/>
          <w:szCs w:val="32"/>
          <w:lang w:val="en-US" w:eastAsia="zh-CN"/>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432.09</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432.09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ascii="仿宋" w:hAnsi="仿宋" w:eastAsia="仿宋" w:cs="仿宋"/>
          <w:spacing w:val="-34"/>
          <w:sz w:val="32"/>
          <w:szCs w:val="32"/>
        </w:rPr>
        <w:t xml:space="preserve"> </w:t>
      </w:r>
      <w:r>
        <w:rPr>
          <w:rFonts w:hint="eastAsia" w:ascii="仿宋" w:hAnsi="仿宋" w:eastAsia="仿宋" w:cs="仿宋"/>
          <w:spacing w:val="-34"/>
          <w:sz w:val="32"/>
          <w:szCs w:val="32"/>
          <w:lang w:val="en-US" w:eastAsia="zh-CN"/>
        </w:rPr>
        <w:t>98.77</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18.61</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减少了</w:t>
      </w:r>
      <w:r>
        <w:rPr>
          <w:rFonts w:hint="eastAsia" w:ascii="宋体" w:hAnsi="宋体" w:eastAsia="仿宋_GB2312" w:cs="Times New Roman"/>
          <w:sz w:val="32"/>
          <w:szCs w:val="32"/>
          <w:lang w:val="en-US" w:eastAsia="zh-CN"/>
        </w:rPr>
        <w:t>财政预算联网监督平台建设费用。</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432.09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宋体" w:hAnsi="宋体" w:eastAsia="仿宋_GB2312" w:cs="Times New Roman"/>
          <w:sz w:val="32"/>
          <w:szCs w:val="32"/>
          <w:lang w:val="en-US" w:eastAsia="zh-CN"/>
        </w:rPr>
        <w:t>98.77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减少了</w:t>
      </w:r>
      <w:r>
        <w:rPr>
          <w:rFonts w:hint="eastAsia" w:ascii="宋体" w:hAnsi="宋体" w:eastAsia="仿宋_GB2312" w:cs="Times New Roman"/>
          <w:sz w:val="32"/>
          <w:szCs w:val="32"/>
          <w:lang w:val="en-US" w:eastAsia="zh-CN"/>
        </w:rPr>
        <w:t>财政预算联网监督平台建设费用。</w:t>
      </w:r>
    </w:p>
    <w:p>
      <w:pPr>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highlight w:val="none"/>
        </w:rPr>
      </w:pPr>
      <w:bookmarkStart w:id="14" w:name="_Toc27424_WPSOffice_Level2"/>
      <w:bookmarkStart w:id="15" w:name="_Toc1066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年度财政拨款支出</w:t>
      </w:r>
      <w:r>
        <w:rPr>
          <w:rFonts w:hint="eastAsia" w:ascii="仿宋" w:hAnsi="仿宋" w:eastAsia="仿宋" w:cs="仿宋"/>
          <w:sz w:val="32"/>
          <w:szCs w:val="32"/>
          <w:highlight w:val="none"/>
          <w:lang w:val="en-US" w:eastAsia="zh-CN"/>
        </w:rPr>
        <w:t>432.09</w:t>
      </w:r>
      <w:r>
        <w:rPr>
          <w:rFonts w:hint="eastAsia" w:ascii="宋体" w:hAnsi="宋体" w:eastAsia="仿宋_GB2312" w:cs="Times New Roman"/>
          <w:sz w:val="32"/>
          <w:szCs w:val="32"/>
          <w:highlight w:val="none"/>
        </w:rPr>
        <w:t>万元，主要用于以下方面：</w:t>
      </w:r>
      <w:r>
        <w:rPr>
          <w:rFonts w:hint="eastAsia" w:ascii="宋体" w:hAnsi="宋体" w:eastAsia="仿宋_GB2312" w:cs="Times New Roman"/>
          <w:sz w:val="32"/>
          <w:szCs w:val="32"/>
          <w:highlight w:val="none"/>
          <w:lang w:val="en-US" w:eastAsia="zh-CN"/>
        </w:rPr>
        <w:t>2010101</w:t>
      </w:r>
      <w:r>
        <w:rPr>
          <w:rFonts w:hint="eastAsia" w:ascii="宋体" w:hAnsi="宋体" w:eastAsia="仿宋_GB2312" w:cs="Times New Roman"/>
          <w:sz w:val="32"/>
          <w:szCs w:val="32"/>
          <w:highlight w:val="none"/>
          <w:lang w:eastAsia="zh-CN"/>
        </w:rPr>
        <w:t>行政运行</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274.19</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63.46</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2010102一般行政管理事务</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118.39</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27.4</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2010104</w:t>
      </w:r>
      <w:r>
        <w:rPr>
          <w:rFonts w:hint="eastAsia" w:ascii="宋体" w:hAnsi="宋体" w:eastAsia="仿宋_GB2312" w:cs="Times New Roman"/>
          <w:sz w:val="32"/>
          <w:szCs w:val="32"/>
          <w:highlight w:val="none"/>
          <w:lang w:eastAsia="zh-CN"/>
        </w:rPr>
        <w:t>人大会议支出</w:t>
      </w:r>
      <w:r>
        <w:rPr>
          <w:rFonts w:hint="eastAsia" w:ascii="宋体" w:hAnsi="宋体" w:eastAsia="仿宋_GB2312" w:cs="Times New Roman"/>
          <w:sz w:val="32"/>
          <w:szCs w:val="32"/>
          <w:highlight w:val="none"/>
          <w:lang w:val="en-US" w:eastAsia="zh-CN"/>
        </w:rPr>
        <w:t>16.11万元，占3.73%；2010301</w:t>
      </w:r>
      <w:r>
        <w:rPr>
          <w:rFonts w:hint="eastAsia" w:ascii="宋体" w:hAnsi="宋体" w:eastAsia="仿宋_GB2312" w:cs="Times New Roman"/>
          <w:sz w:val="32"/>
          <w:szCs w:val="32"/>
          <w:highlight w:val="none"/>
          <w:lang w:eastAsia="zh-CN"/>
        </w:rPr>
        <w:t>行政运行</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4.92</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1.14</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2080801死亡抚恤支出8.49万元，占1.96%；2299999其他</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10</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2.31</w:t>
      </w:r>
      <w:r>
        <w:rPr>
          <w:rFonts w:hint="eastAsia" w:ascii="宋体" w:hAnsi="宋体" w:eastAsia="仿宋_GB2312" w:cs="Times New Roman"/>
          <w:sz w:val="32"/>
          <w:szCs w:val="32"/>
          <w:highlight w:val="none"/>
        </w:rPr>
        <w:t>%</w:t>
      </w:r>
      <w:r>
        <w:rPr>
          <w:rFonts w:hint="eastAsia" w:ascii="仿宋" w:hAnsi="仿宋" w:eastAsia="仿宋" w:cs="仿宋"/>
          <w:spacing w:val="4"/>
          <w:sz w:val="32"/>
          <w:szCs w:val="32"/>
          <w:highlight w:val="none"/>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hint="eastAsia" w:ascii="仿宋" w:hAnsi="仿宋" w:eastAsia="仿宋_GB2312" w:cs="仿宋"/>
          <w:spacing w:val="4"/>
          <w:sz w:val="32"/>
          <w:szCs w:val="32"/>
          <w:highlight w:val="red"/>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highlight w:val="none"/>
          <w:lang w:val="en-US" w:eastAsia="zh-CN"/>
        </w:rPr>
        <w:t>432.09</w:t>
      </w:r>
      <w:r>
        <w:rPr>
          <w:rFonts w:hint="eastAsia" w:ascii="宋体" w:hAnsi="宋体" w:eastAsia="仿宋_GB2312" w:cs="Times New Roman"/>
          <w:sz w:val="32"/>
          <w:szCs w:val="32"/>
          <w:highlight w:val="none"/>
        </w:rPr>
        <w:t>万元，支出决算为</w:t>
      </w:r>
      <w:r>
        <w:rPr>
          <w:rFonts w:hint="eastAsia" w:ascii="仿宋" w:hAnsi="仿宋" w:eastAsia="仿宋" w:cs="仿宋"/>
          <w:sz w:val="32"/>
          <w:szCs w:val="32"/>
          <w:highlight w:val="none"/>
          <w:lang w:val="en-US" w:eastAsia="zh-CN"/>
        </w:rPr>
        <w:t>432.09</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295.21</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254.14</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216.92</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37.23</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41.07</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41.07</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highlight w:val="yellow"/>
          <w:lang w:eastAsia="zh-CN"/>
        </w:rPr>
      </w:pPr>
      <w:bookmarkStart w:id="18" w:name="_Toc9131_WPSOffice_Level2"/>
      <w:bookmarkStart w:id="19" w:name="_Toc10214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w:t>
      </w:r>
      <w:r>
        <w:rPr>
          <w:rFonts w:hint="eastAsia" w:ascii="宋体" w:hAnsi="宋体" w:eastAsia="仿宋_GB2312" w:cs="Times New Roman"/>
          <w:sz w:val="32"/>
          <w:szCs w:val="32"/>
          <w:highlight w:val="none"/>
          <w:lang w:eastAsia="zh-CN"/>
        </w:rPr>
        <w:t>无</w:t>
      </w:r>
      <w:r>
        <w:rPr>
          <w:rFonts w:hint="eastAsia" w:ascii="宋体" w:hAnsi="宋体" w:eastAsia="仿宋_GB2312" w:cs="Times New Roman"/>
          <w:sz w:val="32"/>
          <w:szCs w:val="32"/>
          <w:highlight w:val="none"/>
        </w:rPr>
        <w:t>“三公”经费</w:t>
      </w:r>
      <w:r>
        <w:rPr>
          <w:rFonts w:hint="eastAsia" w:ascii="宋体" w:hAnsi="宋体" w:eastAsia="仿宋_GB2312" w:cs="Times New Roman"/>
          <w:sz w:val="32"/>
          <w:szCs w:val="32"/>
          <w:highlight w:val="none"/>
          <w:lang w:eastAsia="zh-CN"/>
        </w:rPr>
        <w:t>收支情况。</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41.07</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78.58</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65.67</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统计口径不一致，</w:t>
      </w:r>
      <w:r>
        <w:rPr>
          <w:rFonts w:hint="eastAsia" w:ascii="宋体" w:hAnsi="宋体" w:eastAsia="仿宋_GB2312" w:cs="Times New Roman"/>
          <w:sz w:val="32"/>
          <w:szCs w:val="32"/>
          <w:highlight w:val="none"/>
        </w:rPr>
        <w:t>根据单位实际支出情况对相关科目进行了调整。</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28.98</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25.98</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numPr>
          <w:ilvl w:val="0"/>
          <w:numId w:val="5"/>
        </w:numPr>
        <w:jc w:val="left"/>
        <w:rPr>
          <w:rFonts w:hint="eastAsia" w:ascii="宋体" w:hAnsi="宋体" w:eastAsia="仿宋_GB2312" w:cs="Times New Roman"/>
          <w:color w:val="auto"/>
          <w:sz w:val="32"/>
          <w:szCs w:val="32"/>
          <w:highlight w:val="none"/>
          <w:shd w:val="clear" w:color="auto" w:fill="auto"/>
        </w:rPr>
      </w:pPr>
      <w:r>
        <w:rPr>
          <w:rFonts w:hint="eastAsia" w:ascii="宋体" w:hAnsi="宋体" w:eastAsia="仿宋_GB2312" w:cs="Times New Roman"/>
          <w:color w:val="auto"/>
          <w:sz w:val="32"/>
          <w:szCs w:val="32"/>
          <w:highlight w:val="none"/>
          <w:shd w:val="clear" w:color="auto" w:fill="auto"/>
        </w:rPr>
        <w:t>项目绩效评价工作开展情况，包括项目绩效目标、支出绩效评价等情况。</w:t>
      </w:r>
    </w:p>
    <w:p>
      <w:pPr>
        <w:widowControl/>
        <w:numPr>
          <w:ilvl w:val="0"/>
          <w:numId w:val="0"/>
        </w:numPr>
        <w:ind w:firstLine="640" w:firstLineChars="200"/>
        <w:jc w:val="left"/>
        <w:rPr>
          <w:rFonts w:hint="eastAsia" w:ascii="仿宋_GB2312" w:hAnsi="仿宋_GB2312" w:eastAsia="仿宋_GB2312" w:cs="仿宋_GB2312"/>
          <w:color w:val="000000"/>
          <w:kern w:val="0"/>
          <w:sz w:val="31"/>
          <w:szCs w:val="31"/>
          <w:lang w:val="en-US" w:eastAsia="zh-CN"/>
        </w:rPr>
      </w:pPr>
      <w:r>
        <w:rPr>
          <w:rFonts w:hint="eastAsia" w:ascii="宋体" w:hAnsi="宋体" w:eastAsia="仿宋_GB2312" w:cs="Times New Roman"/>
          <w:color w:val="auto"/>
          <w:sz w:val="32"/>
          <w:szCs w:val="32"/>
          <w:highlight w:val="none"/>
          <w:shd w:val="clear" w:color="auto" w:fill="auto"/>
        </w:rPr>
        <w:t>2021年度单位实行绩效目标管理的项目</w:t>
      </w:r>
      <w:r>
        <w:rPr>
          <w:rFonts w:hint="eastAsia" w:ascii="宋体" w:hAnsi="宋体" w:eastAsia="仿宋_GB2312" w:cs="Times New Roman"/>
          <w:color w:val="auto"/>
          <w:sz w:val="32"/>
          <w:szCs w:val="32"/>
          <w:highlight w:val="none"/>
          <w:shd w:val="clear" w:color="auto" w:fill="auto"/>
          <w:lang w:val="en-US" w:eastAsia="zh-CN"/>
        </w:rPr>
        <w:t>6</w:t>
      </w:r>
      <w:r>
        <w:rPr>
          <w:rFonts w:hint="eastAsia" w:ascii="宋体" w:hAnsi="宋体" w:eastAsia="仿宋_GB2312" w:cs="Times New Roman"/>
          <w:color w:val="auto"/>
          <w:sz w:val="32"/>
          <w:szCs w:val="32"/>
          <w:highlight w:val="none"/>
          <w:shd w:val="clear" w:color="auto" w:fill="auto"/>
        </w:rPr>
        <w:t>个，</w:t>
      </w:r>
      <w:r>
        <w:rPr>
          <w:rFonts w:hint="eastAsia" w:ascii="宋体" w:hAnsi="宋体" w:eastAsia="仿宋_GB2312" w:cs="Times New Roman"/>
          <w:color w:val="auto"/>
          <w:sz w:val="32"/>
          <w:szCs w:val="32"/>
          <w:highlight w:val="none"/>
          <w:shd w:val="clear" w:color="auto" w:fill="auto"/>
          <w:lang w:eastAsia="zh-CN"/>
        </w:rPr>
        <w:t>分别是人大会议费</w:t>
      </w:r>
      <w:r>
        <w:rPr>
          <w:rFonts w:hint="eastAsia" w:ascii="宋体" w:hAnsi="宋体" w:eastAsia="仿宋_GB2312" w:cs="Times New Roman"/>
          <w:color w:val="auto"/>
          <w:sz w:val="32"/>
          <w:szCs w:val="32"/>
          <w:highlight w:val="none"/>
          <w:shd w:val="clear" w:color="auto" w:fill="auto"/>
          <w:lang w:val="en-US" w:eastAsia="zh-CN"/>
        </w:rPr>
        <w:t>70万元，人大培训费30万元，档案整理费2万元，日常办公运行经费50万元，死亡抚恤金8.49万元，财政预算平台运行经费10万元，共计170.49万元</w:t>
      </w:r>
      <w:r>
        <w:rPr>
          <w:rFonts w:hint="eastAsia" w:ascii="仿宋_GB2312" w:hAnsi="仿宋_GB2312" w:eastAsia="仿宋_GB2312" w:cs="仿宋_GB2312"/>
          <w:color w:val="000000"/>
          <w:kern w:val="0"/>
          <w:sz w:val="31"/>
          <w:szCs w:val="31"/>
          <w:lang w:val="en-US" w:eastAsia="zh-CN"/>
        </w:rPr>
        <w:t>。</w:t>
      </w:r>
    </w:p>
    <w:p>
      <w:pPr>
        <w:rPr>
          <w:rFonts w:ascii="宋体" w:hAnsi="宋体" w:eastAsia="仿宋_GB2312" w:cs="Times New Roman"/>
          <w:color w:val="auto"/>
          <w:sz w:val="32"/>
          <w:szCs w:val="32"/>
          <w:highlight w:val="none"/>
          <w:shd w:val="clear" w:color="auto" w:fill="auto"/>
        </w:rPr>
      </w:pPr>
      <w:r>
        <w:rPr>
          <w:rFonts w:hint="eastAsia" w:ascii="宋体" w:hAnsi="宋体" w:eastAsia="仿宋_GB2312" w:cs="Times New Roman"/>
          <w:color w:val="auto"/>
          <w:sz w:val="32"/>
          <w:szCs w:val="32"/>
          <w:highlight w:val="none"/>
          <w:shd w:val="clear" w:color="auto" w:fill="auto"/>
        </w:rPr>
        <w:t>(2)绩效评价工作取得的成效。</w:t>
      </w:r>
    </w:p>
    <w:p>
      <w:pPr>
        <w:ind w:firstLine="640" w:firstLineChars="200"/>
        <w:rPr>
          <w:rFonts w:hint="default"/>
          <w:lang w:val="en-US" w:eastAsia="zh-CN"/>
        </w:rPr>
      </w:pPr>
      <w:r>
        <w:rPr>
          <w:rFonts w:hint="eastAsia" w:ascii="宋体" w:hAnsi="宋体" w:eastAsia="仿宋_GB2312" w:cs="Times New Roman"/>
          <w:color w:val="auto"/>
          <w:sz w:val="32"/>
          <w:szCs w:val="32"/>
          <w:highlight w:val="none"/>
          <w:shd w:val="clear" w:color="auto" w:fill="auto"/>
        </w:rPr>
        <w:t>我单位严格按照绩效满意度进一步优化支出，</w:t>
      </w:r>
      <w:r>
        <w:rPr>
          <w:rFonts w:hint="eastAsia" w:ascii="宋体" w:hAnsi="宋体" w:eastAsia="仿宋_GB2312" w:cs="Times New Roman"/>
          <w:color w:val="auto"/>
          <w:sz w:val="32"/>
          <w:szCs w:val="32"/>
          <w:highlight w:val="none"/>
          <w:shd w:val="clear" w:color="auto" w:fill="auto"/>
          <w:lang w:eastAsia="zh-CN"/>
        </w:rPr>
        <w:t>工作效率得到进一步提升，人大代表参与度、满意度高，社会效益良好。一是</w:t>
      </w:r>
      <w:r>
        <w:rPr>
          <w:rFonts w:hint="eastAsia" w:ascii="宋体" w:hAnsi="宋体" w:eastAsia="仿宋_GB2312" w:cs="Times New Roman"/>
          <w:color w:val="auto"/>
          <w:sz w:val="32"/>
          <w:szCs w:val="32"/>
          <w:highlight w:val="none"/>
          <w:shd w:val="clear" w:color="auto" w:fill="auto"/>
          <w:lang w:val="en-US" w:eastAsia="zh-CN"/>
        </w:rPr>
        <w:t>依法履职尽责，圆满完成换届选举任务。</w:t>
      </w:r>
      <w:r>
        <w:rPr>
          <w:rFonts w:hint="eastAsia" w:ascii="仿宋_GB2312" w:hAnsi="仿宋_GB2312" w:eastAsia="仿宋_GB2312" w:cs="仿宋_GB2312"/>
          <w:color w:val="000000"/>
          <w:sz w:val="32"/>
          <w:szCs w:val="32"/>
          <w:lang w:val="en-US" w:eastAsia="zh-CN"/>
        </w:rPr>
        <w:t>按照区委安排和相关法律程序，区人大常委会审议通过了区乡换届工作领导组及其组成人员，科学划分选区、分配代表名额，充分发扬民主，依法选举产生了230名区人大代表，认真筹备召开了区九届人大一次会议，全体代表认真酝酿、积极投票，依法选举产生新一届政府领导班子、人大常委会主任、副主任以及监委主任、法检两长。审议通过了财政预决算和我区“</w:t>
      </w:r>
      <w:bookmarkStart w:id="22" w:name="_GoBack"/>
      <w:r>
        <w:rPr>
          <w:rFonts w:hint="eastAsia" w:ascii="仿宋_GB2312" w:hAnsi="仿宋_GB2312" w:eastAsia="仿宋_GB2312" w:cs="仿宋_GB2312"/>
          <w:color w:val="000000"/>
          <w:sz w:val="32"/>
          <w:szCs w:val="32"/>
          <w:lang w:val="en-US" w:eastAsia="zh-CN"/>
        </w:rPr>
        <w:t>十四五</w:t>
      </w:r>
      <w:bookmarkEnd w:id="22"/>
      <w:r>
        <w:rPr>
          <w:rFonts w:hint="eastAsia" w:ascii="仿宋_GB2312" w:hAnsi="仿宋_GB2312" w:eastAsia="仿宋_GB2312" w:cs="仿宋_GB2312"/>
          <w:color w:val="000000"/>
          <w:sz w:val="32"/>
          <w:szCs w:val="32"/>
          <w:lang w:val="en-US" w:eastAsia="zh-CN"/>
        </w:rPr>
        <w:t>”规划报告，表决通过了相关决议案，圆满完成了换届选举任务。二是服务中心大局，依法履行监督职责。人大常委会紧紧围绕全区工作大局，聚焦经济社会高质量发展和民生领域重点工作，强化履职监督，展现人大责任担当。常委会采取专题调研、集中视察、听取审议工作报告等多种方式，开展人大监督，听取和审议相关工作报告，开展集中视察和专题调研，推动民生实事项目落到实处，助力项目建设提质增效，拉动全区经济高质量发展。三是强化代表履职培训，提升代表履职能力。2021年换届以来，区九届人大常委会立足“代表机关”定位，加强代表联络站点建设，丰富代表活动形式，拓宽代表履职渠道，做好代表建议意见督办，强化代表履职培训，多措并举服务和保障代表积极履职，有效发挥代表为党传声、为民代言的重要作用。选举产生新一届人大代表之后，为新任的区乡两级人大代表进行初任履职培训，有效增强代表履职意识，提升履职能力。组织九届人大常委会组成人员、机关人大干部和各乡镇人大主席、街道人大联络组长，重点围绕宪法、人大相关法律以及人大业务知识进行了集中培训，基本达到人大代表和人大干部履职培训全覆盖，代表整体素质和履职能力得到较大提升，代表履职更有底气、更有力量。</w:t>
      </w:r>
    </w:p>
    <w:p>
      <w:pPr>
        <w:spacing w:line="204" w:lineRule="auto"/>
        <w:jc w:val="left"/>
        <w:rPr>
          <w:rFonts w:hint="eastAsia"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pStyle w:val="2"/>
        <w:rPr>
          <w:rFonts w:hint="eastAsia" w:eastAsia="楷体"/>
          <w:lang w:eastAsia="zh-CN"/>
        </w:rPr>
      </w:pPr>
      <w:r>
        <w:rPr>
          <w:rFonts w:hint="eastAsia" w:ascii="楷体" w:hAnsi="楷体" w:eastAsia="楷体" w:cs="楷体"/>
          <w:spacing w:val="-3"/>
          <w:sz w:val="32"/>
          <w:szCs w:val="32"/>
          <w:lang w:eastAsia="zh-CN"/>
        </w:rPr>
        <w:t>无</w:t>
      </w:r>
    </w:p>
    <w:p>
      <w:pPr>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47D52631"/>
    <w:multiLevelType w:val="singleLevel"/>
    <w:tmpl w:val="47D52631"/>
    <w:lvl w:ilvl="0" w:tentative="0">
      <w:start w:val="1"/>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YjM1N2QwODZhN2Q1ZjFlZjM4ZDA1NTEzNThjZWQifQ=="/>
  </w:docVars>
  <w:rsids>
    <w:rsidRoot w:val="7E3F0B7D"/>
    <w:rsid w:val="000014A7"/>
    <w:rsid w:val="00052B5B"/>
    <w:rsid w:val="00774AFB"/>
    <w:rsid w:val="00E4217F"/>
    <w:rsid w:val="048845AC"/>
    <w:rsid w:val="04DB64EB"/>
    <w:rsid w:val="05A10690"/>
    <w:rsid w:val="07091D35"/>
    <w:rsid w:val="09337961"/>
    <w:rsid w:val="0E115DFD"/>
    <w:rsid w:val="0E7A679A"/>
    <w:rsid w:val="0F345A5A"/>
    <w:rsid w:val="10391FB6"/>
    <w:rsid w:val="11D27EAE"/>
    <w:rsid w:val="16E43C07"/>
    <w:rsid w:val="172C1D86"/>
    <w:rsid w:val="181B5F5C"/>
    <w:rsid w:val="1F044DDD"/>
    <w:rsid w:val="20D97C1B"/>
    <w:rsid w:val="219D18C5"/>
    <w:rsid w:val="21E16A6B"/>
    <w:rsid w:val="223E5F02"/>
    <w:rsid w:val="23553F43"/>
    <w:rsid w:val="28EB721B"/>
    <w:rsid w:val="294E04A0"/>
    <w:rsid w:val="299664C8"/>
    <w:rsid w:val="2A4A685F"/>
    <w:rsid w:val="2CC62EA6"/>
    <w:rsid w:val="2D2F1F9C"/>
    <w:rsid w:val="2E8C09B6"/>
    <w:rsid w:val="2EF759BE"/>
    <w:rsid w:val="2FD86BDF"/>
    <w:rsid w:val="32155375"/>
    <w:rsid w:val="33AC0384"/>
    <w:rsid w:val="3432218C"/>
    <w:rsid w:val="38310648"/>
    <w:rsid w:val="3A0700BB"/>
    <w:rsid w:val="3D8563AF"/>
    <w:rsid w:val="3F28132A"/>
    <w:rsid w:val="3F517E36"/>
    <w:rsid w:val="441772E3"/>
    <w:rsid w:val="44E310AD"/>
    <w:rsid w:val="478E2FE1"/>
    <w:rsid w:val="47E262C1"/>
    <w:rsid w:val="483E0FFC"/>
    <w:rsid w:val="48A10EFF"/>
    <w:rsid w:val="49221B6F"/>
    <w:rsid w:val="49486463"/>
    <w:rsid w:val="49F46469"/>
    <w:rsid w:val="4D2D79B0"/>
    <w:rsid w:val="54695823"/>
    <w:rsid w:val="54F4446A"/>
    <w:rsid w:val="566C494E"/>
    <w:rsid w:val="59173885"/>
    <w:rsid w:val="597A1313"/>
    <w:rsid w:val="59EE6CA3"/>
    <w:rsid w:val="5A3E77CF"/>
    <w:rsid w:val="5CBB1038"/>
    <w:rsid w:val="5E7E3523"/>
    <w:rsid w:val="6256433A"/>
    <w:rsid w:val="6544153D"/>
    <w:rsid w:val="66107215"/>
    <w:rsid w:val="686C497B"/>
    <w:rsid w:val="68CD37BD"/>
    <w:rsid w:val="697E5F63"/>
    <w:rsid w:val="6C940C35"/>
    <w:rsid w:val="6D530CFE"/>
    <w:rsid w:val="6DDC0538"/>
    <w:rsid w:val="6FFD51A2"/>
    <w:rsid w:val="71AC48D0"/>
    <w:rsid w:val="75E127AF"/>
    <w:rsid w:val="75EE3877"/>
    <w:rsid w:val="769368DC"/>
    <w:rsid w:val="770813F3"/>
    <w:rsid w:val="79E637EE"/>
    <w:rsid w:val="7A416293"/>
    <w:rsid w:val="7A4F7C10"/>
    <w:rsid w:val="7A882AED"/>
    <w:rsid w:val="7B0961C6"/>
    <w:rsid w:val="7BA84F04"/>
    <w:rsid w:val="7BEF12A8"/>
    <w:rsid w:val="7D22554B"/>
    <w:rsid w:val="7D9B72FA"/>
    <w:rsid w:val="7E3F0B7D"/>
    <w:rsid w:val="7ED25B36"/>
    <w:rsid w:val="7F642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39</TotalTime>
  <ScaleCrop>false</ScaleCrop>
  <LinksUpToDate>false</LinksUpToDate>
  <CharactersWithSpaces>3558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宸希</cp:lastModifiedBy>
  <cp:lastPrinted>2021-10-28T11:45:00Z</cp:lastPrinted>
  <dcterms:modified xsi:type="dcterms:W3CDTF">2023-11-14T03:28:02Z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A07BFCB54E9441C48A4A51D76055C7BB</vt:lpwstr>
  </property>
</Properties>
</file>