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44"/>
          <w:szCs w:val="44"/>
        </w:rPr>
      </w:pPr>
      <w:r>
        <w:rPr>
          <w:rFonts w:ascii="黑体" w:eastAsia="黑体"/>
          <w:sz w:val="44"/>
          <w:szCs w:val="44"/>
        </w:rPr>
        <w:t>朔州市朔城区南城办联区</w:t>
      </w:r>
    </w:p>
    <w:p>
      <w:pPr>
        <w:jc w:val="center"/>
        <w:rPr>
          <w:rFonts w:ascii="黑体" w:eastAsia="黑体"/>
          <w:sz w:val="44"/>
          <w:szCs w:val="44"/>
        </w:rPr>
      </w:pPr>
      <w:r>
        <w:rPr>
          <w:rFonts w:hint="eastAsia" w:ascii="黑体" w:eastAsia="黑体"/>
          <w:sz w:val="44"/>
          <w:szCs w:val="44"/>
        </w:rPr>
        <w:t>2020年部门决算公开情况说明</w:t>
      </w:r>
    </w:p>
    <w:p>
      <w:pPr>
        <w:pStyle w:val="3"/>
      </w:pPr>
    </w:p>
    <w:p>
      <w:pPr>
        <w:spacing w:line="360" w:lineRule="auto"/>
        <w:jc w:val="center"/>
        <w:rPr>
          <w:rFonts w:ascii="宋体" w:hAnsi="宋体" w:cs="宋体"/>
          <w:sz w:val="44"/>
          <w:szCs w:val="44"/>
        </w:rPr>
      </w:pPr>
      <w:r>
        <w:rPr>
          <w:rFonts w:hint="eastAsia" w:ascii="宋体" w:hAnsi="宋体" w:cs="宋体"/>
          <w:sz w:val="44"/>
          <w:szCs w:val="44"/>
        </w:rPr>
        <w:t>目录</w:t>
      </w:r>
    </w:p>
    <w:p>
      <w:pPr>
        <w:pStyle w:val="6"/>
        <w:tabs>
          <w:tab w:val="right" w:leader="dot" w:pos="8336"/>
        </w:tabs>
        <w:spacing w:line="360" w:lineRule="auto"/>
        <w:ind w:firstLine="400" w:firstLineChars="200"/>
        <w:rPr>
          <w:rFonts w:ascii="宋体" w:hAnsi="宋体" w:cs="宋体"/>
          <w:b/>
          <w:sz w:val="30"/>
          <w:szCs w:val="30"/>
        </w:rPr>
      </w:pP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7"/>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7"/>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6"/>
        <w:tabs>
          <w:tab w:val="right" w:leader="dot" w:pos="8336"/>
        </w:tabs>
        <w:spacing w:line="360" w:lineRule="auto"/>
        <w:ind w:firstLine="400" w:firstLineChars="2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2020年度部门决算公开报表</w:t>
      </w:r>
    </w:p>
    <w:p>
      <w:pPr>
        <w:pStyle w:val="6"/>
        <w:tabs>
          <w:tab w:val="right" w:leader="dot" w:pos="8336"/>
        </w:tabs>
        <w:spacing w:line="360" w:lineRule="auto"/>
        <w:ind w:left="0" w:leftChars="0" w:firstLine="419" w:firstLineChars="139"/>
        <w:rPr>
          <w:rFonts w:ascii="宋体" w:hAnsi="宋体" w:cs="宋体"/>
          <w:b/>
          <w:sz w:val="30"/>
          <w:szCs w:val="30"/>
        </w:rPr>
      </w:pPr>
      <w:r>
        <w:rPr>
          <w:rFonts w:hint="eastAsia" w:ascii="宋体" w:hAnsi="宋体" w:cs="宋体"/>
          <w:b/>
          <w:sz w:val="30"/>
          <w:szCs w:val="30"/>
        </w:rPr>
        <w:t>三、2020年度部门决算情况说明</w:t>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6"/>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主要职能职责</w:t>
      </w:r>
    </w:p>
    <w:p>
      <w:pPr>
        <w:ind w:firstLine="640" w:firstLineChars="200"/>
        <w:jc w:val="left"/>
        <w:rPr>
          <w:rFonts w:ascii="仿宋" w:hAnsi="仿宋" w:eastAsia="仿宋" w:cs="仿宋"/>
          <w:sz w:val="32"/>
          <w:szCs w:val="32"/>
        </w:rPr>
      </w:pPr>
      <w:r>
        <w:rPr>
          <w:rFonts w:ascii="仿宋" w:hAnsi="仿宋" w:eastAsia="仿宋" w:cs="仿宋"/>
          <w:sz w:val="32"/>
          <w:szCs w:val="32"/>
        </w:rPr>
        <w:t>1、贯彻执行党和国家的教育方针、政策和有关教育方面的各项法律法规，实施小学阶段义务教育，促进基础教育健康发展。</w:t>
      </w:r>
    </w:p>
    <w:p>
      <w:pPr>
        <w:ind w:firstLine="640" w:firstLineChars="200"/>
        <w:jc w:val="left"/>
        <w:rPr>
          <w:rFonts w:ascii="仿宋" w:hAnsi="仿宋" w:eastAsia="仿宋" w:cs="仿宋"/>
          <w:sz w:val="32"/>
          <w:szCs w:val="32"/>
        </w:rPr>
      </w:pPr>
      <w:r>
        <w:rPr>
          <w:rFonts w:ascii="仿宋" w:hAnsi="仿宋" w:eastAsia="仿宋" w:cs="仿宋"/>
          <w:sz w:val="32"/>
          <w:szCs w:val="32"/>
        </w:rPr>
        <w:t>2、加强教师队伍管理，创新管理和评价考核机制，继续打造高效课堂，提高教育教学质量，为每一位学生的健康全面发展打造优质的平台。</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ascii="仿宋" w:hAnsi="仿宋" w:eastAsia="仿宋" w:cs="仿宋"/>
          <w:sz w:val="32"/>
          <w:szCs w:val="32"/>
        </w:rPr>
        <w:t>、抓好常规教学的同时圆满完成义务教育均衡发展国家级验收工作，补齐短板，争取高标准配齐配足相应设施设备。</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ind w:firstLine="640" w:firstLineChars="200"/>
        <w:rPr>
          <w:rFonts w:ascii="仿宋" w:hAnsi="仿宋" w:eastAsia="仿宋" w:cs="仿宋"/>
          <w:sz w:val="32"/>
          <w:szCs w:val="32"/>
        </w:rPr>
      </w:pPr>
      <w:r>
        <w:rPr>
          <w:rFonts w:ascii="宋体" w:hAnsi="宋体" w:eastAsia="仿宋_GB2312" w:cs="Times New Roman"/>
          <w:sz w:val="32"/>
          <w:szCs w:val="32"/>
        </w:rPr>
        <w:t>我单位直属朔城区教育局，是二级单位，无下属单位。从预算单位构成看，本单位部门决算包括：本级决算。</w:t>
      </w: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第二部分2020</w:t>
      </w:r>
      <w:r>
        <w:rPr>
          <w:rFonts w:ascii="黑体" w:hAnsi="黑体" w:eastAsia="黑体" w:cs="黑体"/>
          <w:snapToGrid w:val="0"/>
          <w:color w:val="000000"/>
          <w:spacing w:val="-4"/>
          <w:kern w:val="0"/>
          <w:sz w:val="32"/>
          <w:szCs w:val="32"/>
        </w:rPr>
        <w:t>年度部门决算表</w:t>
      </w:r>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2020</w:t>
      </w:r>
      <w:r>
        <w:rPr>
          <w:rFonts w:ascii="黑体" w:hAnsi="黑体" w:eastAsia="黑体" w:cs="黑体"/>
          <w:snapToGrid w:val="0"/>
          <w:color w:val="000000"/>
          <w:spacing w:val="-4"/>
          <w:kern w:val="0"/>
          <w:sz w:val="32"/>
          <w:szCs w:val="32"/>
        </w:rPr>
        <w:t>年度部门决算情况说明</w:t>
      </w:r>
    </w:p>
    <w:p>
      <w:pPr>
        <w:numPr>
          <w:ilvl w:val="0"/>
          <w:numId w:val="2"/>
        </w:numPr>
        <w:rPr>
          <w:rFonts w:ascii="仿宋" w:hAnsi="仿宋" w:eastAsia="仿宋" w:cs="仿宋"/>
          <w:sz w:val="32"/>
          <w:szCs w:val="32"/>
        </w:rPr>
      </w:pPr>
      <w:r>
        <w:rPr>
          <w:rFonts w:hint="eastAsia" w:ascii="楷体" w:hAnsi="楷体" w:eastAsia="楷体" w:cs="楷体"/>
          <w:spacing w:val="-3"/>
          <w:sz w:val="32"/>
          <w:szCs w:val="32"/>
        </w:rPr>
        <w:t>收入支出决算总体情况说明</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rPr>
        <w:t>2020年度收入总计</w:t>
      </w:r>
      <w:r>
        <w:rPr>
          <w:rFonts w:ascii="宋体" w:hAnsi="宋体" w:eastAsia="仿宋_GB2312" w:cs="Times New Roman"/>
          <w:sz w:val="32"/>
          <w:szCs w:val="32"/>
        </w:rPr>
        <w:t>339.82</w:t>
      </w:r>
      <w:r>
        <w:rPr>
          <w:rFonts w:hint="eastAsia" w:ascii="宋体" w:hAnsi="宋体" w:eastAsia="仿宋_GB2312" w:cs="Times New Roman"/>
          <w:sz w:val="32"/>
          <w:szCs w:val="32"/>
        </w:rPr>
        <w:t>万元、支出总计</w:t>
      </w:r>
      <w:r>
        <w:rPr>
          <w:rFonts w:ascii="宋体" w:hAnsi="宋体" w:eastAsia="仿宋_GB2312" w:cs="Times New Roman"/>
          <w:sz w:val="32"/>
          <w:szCs w:val="32"/>
        </w:rPr>
        <w:t>339.82</w:t>
      </w:r>
      <w:r>
        <w:rPr>
          <w:rFonts w:hint="eastAsia" w:ascii="宋体" w:hAnsi="宋体" w:eastAsia="仿宋_GB2312" w:cs="Times New Roman"/>
          <w:sz w:val="32"/>
          <w:szCs w:val="32"/>
        </w:rPr>
        <w:t>万元。与2019年相比,收入总计减少</w:t>
      </w:r>
      <w:r>
        <w:rPr>
          <w:rFonts w:ascii="宋体" w:hAnsi="宋体" w:eastAsia="仿宋_GB2312" w:cs="Times New Roman"/>
          <w:sz w:val="32"/>
          <w:szCs w:val="32"/>
        </w:rPr>
        <w:t>330.89</w:t>
      </w:r>
      <w:r>
        <w:rPr>
          <w:rFonts w:hint="eastAsia" w:ascii="宋体" w:hAnsi="宋体" w:eastAsia="仿宋_GB2312" w:cs="Times New Roman"/>
          <w:sz w:val="32"/>
          <w:szCs w:val="32"/>
        </w:rPr>
        <w:t>万元，支出总计减少</w:t>
      </w:r>
      <w:r>
        <w:rPr>
          <w:rFonts w:ascii="仿宋" w:hAnsi="仿宋" w:eastAsia="仿宋" w:cs="仿宋"/>
          <w:spacing w:val="2"/>
          <w:sz w:val="32"/>
          <w:szCs w:val="32"/>
        </w:rPr>
        <w:t>330.89</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1、本年学生减少，相应的经费类资金减少；2、</w:t>
      </w:r>
      <w:r>
        <w:rPr>
          <w:rFonts w:ascii="宋体" w:hAnsi="宋体" w:eastAsia="仿宋_GB2312" w:cs="Times New Roman"/>
          <w:sz w:val="32"/>
          <w:szCs w:val="32"/>
        </w:rPr>
        <w:t>本年农村学校维修项目较少，</w:t>
      </w:r>
      <w:r>
        <w:rPr>
          <w:rFonts w:hint="eastAsia" w:ascii="宋体" w:hAnsi="宋体" w:eastAsia="仿宋_GB2312" w:cs="Times New Roman"/>
          <w:sz w:val="32"/>
          <w:szCs w:val="32"/>
          <w:lang w:eastAsia="zh-CN"/>
        </w:rPr>
        <w:t>减少维修资金</w:t>
      </w:r>
      <w:r>
        <w:rPr>
          <w:rFonts w:ascii="宋体" w:hAnsi="宋体" w:eastAsia="仿宋_GB2312" w:cs="Times New Roman"/>
          <w:sz w:val="32"/>
          <w:szCs w:val="32"/>
        </w:rPr>
        <w:t>。</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p>
    <w:p>
      <w:pPr>
        <w:spacing w:line="204" w:lineRule="auto"/>
        <w:ind w:firstLine="667"/>
        <w:jc w:val="left"/>
        <w:rPr>
          <w:rFonts w:ascii="仿宋" w:hAnsi="仿宋" w:eastAsia="仿宋" w:cs="仿宋"/>
          <w:spacing w:val="-4"/>
          <w:sz w:val="32"/>
          <w:szCs w:val="32"/>
        </w:rPr>
      </w:pPr>
      <w:r>
        <w:rPr>
          <w:rFonts w:hint="eastAsia" w:ascii="宋体" w:hAnsi="宋体" w:eastAsia="仿宋_GB2312" w:cs="Times New Roman"/>
          <w:sz w:val="32"/>
          <w:szCs w:val="32"/>
        </w:rPr>
        <w:t>本年收入合计</w:t>
      </w:r>
      <w:r>
        <w:rPr>
          <w:rFonts w:ascii="仿宋" w:hAnsi="仿宋" w:eastAsia="仿宋" w:cs="仿宋"/>
          <w:sz w:val="32"/>
          <w:szCs w:val="32"/>
        </w:rPr>
        <w:t>339.82</w:t>
      </w:r>
      <w:r>
        <w:rPr>
          <w:rFonts w:hint="eastAsia" w:ascii="宋体" w:hAnsi="宋体" w:eastAsia="仿宋_GB2312" w:cs="Times New Roman"/>
          <w:sz w:val="32"/>
          <w:szCs w:val="32"/>
        </w:rPr>
        <w:t>万元，其中：财政拨款收入</w:t>
      </w:r>
      <w:r>
        <w:rPr>
          <w:rFonts w:ascii="仿宋" w:hAnsi="仿宋" w:eastAsia="仿宋" w:cs="仿宋"/>
          <w:sz w:val="32"/>
          <w:szCs w:val="32"/>
        </w:rPr>
        <w:t>339.82</w:t>
      </w:r>
      <w:r>
        <w:rPr>
          <w:rFonts w:hint="eastAsia" w:ascii="宋体" w:hAnsi="宋体" w:eastAsia="仿宋_GB2312" w:cs="Times New Roman"/>
          <w:sz w:val="32"/>
          <w:szCs w:val="32"/>
        </w:rPr>
        <w:t>万元;上级补助收入</w:t>
      </w:r>
      <w:r>
        <w:rPr>
          <w:rFonts w:ascii="宋体" w:hAnsi="宋体" w:eastAsia="仿宋_GB2312" w:cs="Times New Roman"/>
          <w:sz w:val="32"/>
          <w:szCs w:val="32"/>
        </w:rPr>
        <w:t>0</w:t>
      </w:r>
      <w:r>
        <w:rPr>
          <w:rFonts w:hint="eastAsia" w:ascii="宋体" w:hAnsi="宋体" w:eastAsia="仿宋_GB2312" w:cs="Times New Roman"/>
          <w:sz w:val="32"/>
          <w:szCs w:val="32"/>
        </w:rPr>
        <w:t>万元；事业收入</w:t>
      </w:r>
      <w:r>
        <w:rPr>
          <w:rFonts w:ascii="宋体" w:hAnsi="宋体" w:eastAsia="仿宋_GB2312" w:cs="Times New Roman"/>
          <w:sz w:val="32"/>
          <w:szCs w:val="32"/>
        </w:rPr>
        <w:t>0</w:t>
      </w:r>
      <w:r>
        <w:rPr>
          <w:rFonts w:hint="eastAsia" w:ascii="宋体" w:hAnsi="宋体" w:eastAsia="仿宋_GB2312" w:cs="Times New Roman"/>
          <w:sz w:val="32"/>
          <w:szCs w:val="32"/>
        </w:rPr>
        <w:t>万元；经营收入</w:t>
      </w:r>
      <w:r>
        <w:rPr>
          <w:rFonts w:ascii="宋体" w:hAnsi="宋体" w:eastAsia="仿宋_GB2312" w:cs="Times New Roman"/>
          <w:sz w:val="32"/>
          <w:szCs w:val="32"/>
        </w:rPr>
        <w:t>0</w:t>
      </w:r>
      <w:r>
        <w:rPr>
          <w:rFonts w:hint="eastAsia" w:ascii="宋体" w:hAnsi="宋体" w:eastAsia="仿宋_GB2312" w:cs="Times New Roman"/>
          <w:sz w:val="32"/>
          <w:szCs w:val="32"/>
        </w:rPr>
        <w:t>万元；附属单位上缴收入</w:t>
      </w:r>
      <w:r>
        <w:rPr>
          <w:rFonts w:ascii="宋体" w:hAnsi="宋体" w:eastAsia="仿宋_GB2312" w:cs="Times New Roman"/>
          <w:sz w:val="32"/>
          <w:szCs w:val="32"/>
        </w:rPr>
        <w:t>0</w:t>
      </w:r>
      <w:r>
        <w:rPr>
          <w:rFonts w:hint="eastAsia" w:ascii="宋体" w:hAnsi="宋体" w:eastAsia="仿宋_GB2312" w:cs="Times New Roman"/>
          <w:sz w:val="32"/>
          <w:szCs w:val="32"/>
        </w:rPr>
        <w:t>万元；其他收入</w:t>
      </w:r>
      <w:r>
        <w:rPr>
          <w:rFonts w:ascii="宋体" w:hAnsi="宋体" w:eastAsia="仿宋_GB2312" w:cs="Times New Roman"/>
          <w:sz w:val="32"/>
          <w:szCs w:val="32"/>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p>
    <w:p>
      <w:pPr>
        <w:ind w:firstLine="640" w:firstLineChars="200"/>
        <w:rPr>
          <w:rFonts w:ascii="仿宋" w:hAnsi="仿宋" w:eastAsia="仿宋" w:cs="仿宋"/>
          <w:sz w:val="32"/>
          <w:szCs w:val="32"/>
        </w:rPr>
      </w:pPr>
      <w:r>
        <w:rPr>
          <w:rFonts w:hint="eastAsia" w:ascii="宋体" w:hAnsi="宋体" w:eastAsia="仿宋_GB2312" w:cs="Times New Roman"/>
          <w:sz w:val="32"/>
          <w:szCs w:val="32"/>
        </w:rPr>
        <w:t>本年支出合计</w:t>
      </w:r>
      <w:r>
        <w:rPr>
          <w:rFonts w:ascii="仿宋" w:hAnsi="仿宋" w:eastAsia="仿宋" w:cs="仿宋"/>
          <w:sz w:val="32"/>
          <w:szCs w:val="32"/>
        </w:rPr>
        <w:t>339.82</w:t>
      </w:r>
      <w:r>
        <w:rPr>
          <w:rFonts w:hint="eastAsia" w:ascii="宋体" w:hAnsi="宋体" w:eastAsia="仿宋_GB2312" w:cs="Times New Roman"/>
          <w:sz w:val="32"/>
          <w:szCs w:val="32"/>
        </w:rPr>
        <w:t>万元，其中：基本支出</w:t>
      </w:r>
      <w:r>
        <w:rPr>
          <w:rFonts w:ascii="仿宋" w:hAnsi="仿宋" w:eastAsia="仿宋" w:cs="仿宋"/>
          <w:sz w:val="32"/>
          <w:szCs w:val="32"/>
        </w:rPr>
        <w:t>321.19</w:t>
      </w:r>
      <w:r>
        <w:rPr>
          <w:rFonts w:hint="eastAsia" w:ascii="宋体" w:hAnsi="宋体" w:eastAsia="仿宋_GB2312" w:cs="Times New Roman"/>
          <w:sz w:val="32"/>
          <w:szCs w:val="32"/>
        </w:rPr>
        <w:t>万元；项目支出</w:t>
      </w:r>
      <w:r>
        <w:rPr>
          <w:rFonts w:ascii="仿宋" w:hAnsi="仿宋" w:eastAsia="仿宋" w:cs="仿宋"/>
          <w:sz w:val="32"/>
          <w:szCs w:val="32"/>
        </w:rPr>
        <w:t>18.63</w:t>
      </w:r>
      <w:r>
        <w:rPr>
          <w:rFonts w:hint="eastAsia" w:ascii="宋体" w:hAnsi="宋体" w:eastAsia="仿宋_GB2312" w:cs="Times New Roman"/>
          <w:sz w:val="32"/>
          <w:szCs w:val="32"/>
        </w:rPr>
        <w:t>万元；上缴上级支出</w:t>
      </w:r>
      <w:r>
        <w:rPr>
          <w:rFonts w:ascii="宋体" w:hAnsi="宋体" w:eastAsia="仿宋_GB2312" w:cs="Times New Roman"/>
          <w:sz w:val="32"/>
          <w:szCs w:val="32"/>
        </w:rPr>
        <w:t>0</w:t>
      </w:r>
      <w:r>
        <w:rPr>
          <w:rFonts w:hint="eastAsia" w:ascii="宋体" w:hAnsi="宋体" w:eastAsia="仿宋_GB2312" w:cs="Times New Roman"/>
          <w:sz w:val="32"/>
          <w:szCs w:val="32"/>
        </w:rPr>
        <w:t>万元，经营支出</w:t>
      </w:r>
      <w:r>
        <w:rPr>
          <w:rFonts w:ascii="宋体" w:hAnsi="宋体" w:eastAsia="仿宋_GB2312" w:cs="Times New Roman"/>
          <w:sz w:val="32"/>
          <w:szCs w:val="32"/>
        </w:rPr>
        <w:t>0</w:t>
      </w:r>
      <w:r>
        <w:rPr>
          <w:rFonts w:hint="eastAsia" w:ascii="宋体" w:hAnsi="宋体" w:eastAsia="仿宋_GB2312" w:cs="Times New Roman"/>
          <w:sz w:val="32"/>
          <w:szCs w:val="32"/>
        </w:rPr>
        <w:t>万元；对附属单位补助支出</w:t>
      </w:r>
      <w:r>
        <w:rPr>
          <w:rFonts w:ascii="宋体" w:hAnsi="宋体" w:eastAsia="仿宋_GB2312" w:cs="Times New Roman"/>
          <w:sz w:val="32"/>
          <w:szCs w:val="32"/>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rPr>
        <w:t>2020年度财政拨款收入总计</w:t>
      </w:r>
      <w:r>
        <w:rPr>
          <w:rFonts w:ascii="仿宋" w:hAnsi="仿宋" w:eastAsia="仿宋" w:cs="仿宋"/>
          <w:sz w:val="32"/>
          <w:szCs w:val="32"/>
        </w:rPr>
        <w:t>339.82</w:t>
      </w:r>
      <w:r>
        <w:rPr>
          <w:rFonts w:hint="eastAsia" w:ascii="宋体" w:hAnsi="宋体" w:eastAsia="仿宋_GB2312" w:cs="Times New Roman"/>
          <w:sz w:val="32"/>
          <w:szCs w:val="32"/>
        </w:rPr>
        <w:t>万元、支出总计</w:t>
      </w:r>
      <w:r>
        <w:rPr>
          <w:rFonts w:ascii="宋体" w:hAnsi="宋体" w:eastAsia="仿宋_GB2312" w:cs="Times New Roman"/>
          <w:sz w:val="32"/>
          <w:szCs w:val="32"/>
        </w:rPr>
        <w:t>339.82</w:t>
      </w:r>
      <w:r>
        <w:rPr>
          <w:rFonts w:hint="eastAsia" w:ascii="宋体" w:hAnsi="宋体" w:eastAsia="仿宋_GB2312" w:cs="Times New Roman"/>
          <w:sz w:val="32"/>
          <w:szCs w:val="32"/>
        </w:rPr>
        <w:t>万元。与2019年相比，财政拨款收入总计减少</w:t>
      </w:r>
      <w:r>
        <w:rPr>
          <w:rFonts w:ascii="仿宋" w:hAnsi="仿宋" w:eastAsia="仿宋" w:cs="仿宋"/>
          <w:spacing w:val="2"/>
          <w:sz w:val="32"/>
          <w:szCs w:val="32"/>
        </w:rPr>
        <w:t>330.89</w:t>
      </w:r>
      <w:r>
        <w:rPr>
          <w:rFonts w:hint="eastAsia" w:ascii="宋体" w:hAnsi="宋体" w:eastAsia="仿宋_GB2312" w:cs="Times New Roman"/>
          <w:sz w:val="32"/>
          <w:szCs w:val="32"/>
        </w:rPr>
        <w:t>万元，降低</w:t>
      </w:r>
      <w:r>
        <w:rPr>
          <w:rFonts w:ascii="宋体" w:hAnsi="宋体" w:eastAsia="仿宋_GB2312" w:cs="Times New Roman"/>
          <w:sz w:val="32"/>
          <w:szCs w:val="32"/>
        </w:rPr>
        <w:t>49.33</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val="en-US" w:eastAsia="zh-CN"/>
        </w:rPr>
        <w:t>1、本年学生减少，相应的经费类资金减少；2、</w:t>
      </w:r>
      <w:r>
        <w:rPr>
          <w:rFonts w:ascii="宋体" w:hAnsi="宋体" w:eastAsia="仿宋_GB2312" w:cs="Times New Roman"/>
          <w:sz w:val="32"/>
          <w:szCs w:val="32"/>
        </w:rPr>
        <w:t>本年农村学校维修项目较少，</w:t>
      </w:r>
      <w:r>
        <w:rPr>
          <w:rFonts w:hint="eastAsia" w:ascii="宋体" w:hAnsi="宋体" w:eastAsia="仿宋_GB2312" w:cs="Times New Roman"/>
          <w:sz w:val="32"/>
          <w:szCs w:val="32"/>
          <w:lang w:eastAsia="zh-CN"/>
        </w:rPr>
        <w:t>减少维修资金</w:t>
      </w:r>
      <w:r>
        <w:rPr>
          <w:rFonts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rPr>
        <w:t>2020年度财政拨款支出</w:t>
      </w:r>
      <w:r>
        <w:rPr>
          <w:rFonts w:ascii="仿宋" w:hAnsi="仿宋" w:eastAsia="仿宋" w:cs="仿宋"/>
          <w:sz w:val="32"/>
          <w:szCs w:val="32"/>
        </w:rPr>
        <w:t>339.82</w:t>
      </w:r>
      <w:r>
        <w:rPr>
          <w:rFonts w:hint="eastAsia" w:ascii="宋体" w:hAnsi="宋体" w:eastAsia="仿宋_GB2312" w:cs="Times New Roman"/>
          <w:sz w:val="32"/>
          <w:szCs w:val="32"/>
        </w:rPr>
        <w:t>万元，与2019年相比，财政拨款支出减少</w:t>
      </w:r>
      <w:r>
        <w:rPr>
          <w:rFonts w:ascii="仿宋" w:hAnsi="仿宋" w:eastAsia="仿宋" w:cs="仿宋"/>
          <w:spacing w:val="2"/>
          <w:sz w:val="32"/>
          <w:szCs w:val="32"/>
        </w:rPr>
        <w:t>330.89</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1、本年学生减少，相应的经费类资金减少；2、</w:t>
      </w:r>
      <w:r>
        <w:rPr>
          <w:rFonts w:ascii="宋体" w:hAnsi="宋体" w:eastAsia="仿宋_GB2312" w:cs="Times New Roman"/>
          <w:sz w:val="32"/>
          <w:szCs w:val="32"/>
        </w:rPr>
        <w:t>本年农村学校维修项目较少，</w:t>
      </w:r>
      <w:r>
        <w:rPr>
          <w:rFonts w:hint="eastAsia" w:ascii="宋体" w:hAnsi="宋体" w:eastAsia="仿宋_GB2312" w:cs="Times New Roman"/>
          <w:sz w:val="32"/>
          <w:szCs w:val="32"/>
          <w:lang w:eastAsia="zh-CN"/>
        </w:rPr>
        <w:t>减少维修资金</w:t>
      </w:r>
      <w:bookmarkStart w:id="0" w:name="_GoBack"/>
      <w:bookmarkEnd w:id="0"/>
      <w:r>
        <w:rPr>
          <w:rFonts w:ascii="宋体" w:hAnsi="宋体" w:eastAsia="仿宋_GB2312" w:cs="Times New Roman"/>
          <w:sz w:val="32"/>
          <w:szCs w:val="32"/>
        </w:rPr>
        <w:t>。</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r>
        <w:rPr>
          <w:rFonts w:hint="eastAsia" w:ascii="宋体" w:hAnsi="宋体" w:eastAsia="仿宋_GB2312" w:cs="Times New Roman"/>
          <w:sz w:val="32"/>
          <w:szCs w:val="32"/>
        </w:rPr>
        <w:t>2020年度财政拨款支出</w:t>
      </w:r>
      <w:r>
        <w:rPr>
          <w:rFonts w:ascii="仿宋" w:hAnsi="仿宋" w:eastAsia="仿宋" w:cs="仿宋"/>
          <w:sz w:val="32"/>
          <w:szCs w:val="32"/>
        </w:rPr>
        <w:t>339.82</w:t>
      </w:r>
      <w:r>
        <w:rPr>
          <w:rFonts w:hint="eastAsia" w:ascii="宋体" w:hAnsi="宋体" w:eastAsia="仿宋_GB2312" w:cs="Times New Roman"/>
          <w:sz w:val="32"/>
          <w:szCs w:val="32"/>
        </w:rPr>
        <w:t>万元，主要用于以下方面：</w:t>
      </w:r>
      <w:r>
        <w:rPr>
          <w:rFonts w:hint="eastAsia" w:ascii="宋体" w:hAnsi="宋体" w:eastAsia="仿宋_GB2312" w:cs="Times New Roman"/>
          <w:color w:val="000000" w:themeColor="text1"/>
          <w:sz w:val="32"/>
          <w:szCs w:val="32"/>
          <w:lang w:val="en-US" w:eastAsia="zh-CN"/>
          <w14:textFill>
            <w14:solidFill>
              <w14:schemeClr w14:val="tx1"/>
            </w14:solidFill>
          </w14:textFill>
        </w:rPr>
        <w:t>205教育支出（类）</w:t>
      </w:r>
      <w:r>
        <w:rPr>
          <w:rFonts w:ascii="宋体" w:hAnsi="宋体" w:eastAsia="仿宋_GB2312" w:cs="Times New Roman"/>
          <w:sz w:val="32"/>
          <w:szCs w:val="32"/>
        </w:rPr>
        <w:t>1.57万元，20502普通教育支出332.97万元，20503职业教育支出5.28万。</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rPr>
        <w:t>2020年度一般公共预算财政拨款支出当年调整预算数</w:t>
      </w:r>
      <w:r>
        <w:rPr>
          <w:rFonts w:ascii="宋体" w:hAnsi="宋体" w:eastAsia="仿宋_GB2312" w:cs="Times New Roman"/>
          <w:sz w:val="32"/>
          <w:szCs w:val="32"/>
        </w:rPr>
        <w:t>339.82</w:t>
      </w:r>
      <w:r>
        <w:rPr>
          <w:rFonts w:hint="eastAsia" w:ascii="宋体" w:hAnsi="宋体" w:eastAsia="仿宋_GB2312" w:cs="Times New Roman"/>
          <w:sz w:val="32"/>
          <w:szCs w:val="32"/>
        </w:rPr>
        <w:t>万元，支出决算为</w:t>
      </w:r>
      <w:r>
        <w:rPr>
          <w:rFonts w:ascii="仿宋" w:hAnsi="仿宋" w:eastAsia="仿宋" w:cs="仿宋"/>
          <w:sz w:val="32"/>
          <w:szCs w:val="32"/>
        </w:rPr>
        <w:t>339.82</w:t>
      </w:r>
      <w:r>
        <w:rPr>
          <w:rFonts w:hint="eastAsia" w:ascii="宋体" w:hAnsi="宋体" w:eastAsia="仿宋_GB2312" w:cs="Times New Roman"/>
          <w:sz w:val="32"/>
          <w:szCs w:val="32"/>
        </w:rPr>
        <w:t>万元，完成当年调整预算的</w:t>
      </w:r>
      <w:r>
        <w:rPr>
          <w:rFonts w:ascii="宋体" w:hAnsi="宋体" w:eastAsia="仿宋_GB2312" w:cs="Times New Roman"/>
          <w:sz w:val="32"/>
          <w:szCs w:val="32"/>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2020年度财政拨款基本支出</w:t>
      </w:r>
      <w:r>
        <w:rPr>
          <w:rFonts w:ascii="仿宋" w:hAnsi="仿宋" w:eastAsia="仿宋" w:cs="仿宋"/>
          <w:spacing w:val="4"/>
          <w:sz w:val="32"/>
          <w:szCs w:val="32"/>
        </w:rPr>
        <w:t>321.19</w:t>
      </w:r>
      <w:r>
        <w:rPr>
          <w:rFonts w:hint="eastAsia" w:ascii="宋体" w:hAnsi="宋体" w:eastAsia="仿宋_GB2312" w:cs="Times New Roman"/>
          <w:sz w:val="32"/>
          <w:szCs w:val="32"/>
        </w:rPr>
        <w:t>万元，其中：人员经费</w:t>
      </w:r>
      <w:r>
        <w:rPr>
          <w:rFonts w:ascii="仿宋" w:hAnsi="仿宋" w:eastAsia="仿宋" w:cs="仿宋"/>
          <w:spacing w:val="4"/>
          <w:sz w:val="32"/>
          <w:szCs w:val="32"/>
        </w:rPr>
        <w:t>271.37</w:t>
      </w:r>
      <w:r>
        <w:rPr>
          <w:rFonts w:hint="eastAsia" w:ascii="宋体" w:hAnsi="宋体" w:eastAsia="仿宋_GB2312" w:cs="Times New Roman"/>
          <w:sz w:val="32"/>
          <w:szCs w:val="32"/>
        </w:rPr>
        <w:t>万元，主要包括工资福利支出</w:t>
      </w:r>
      <w:r>
        <w:rPr>
          <w:rFonts w:ascii="仿宋" w:hAnsi="仿宋" w:eastAsia="仿宋" w:cs="仿宋"/>
          <w:spacing w:val="4"/>
          <w:sz w:val="32"/>
          <w:szCs w:val="32"/>
        </w:rPr>
        <w:t>268.73</w:t>
      </w:r>
      <w:r>
        <w:rPr>
          <w:rFonts w:hint="eastAsia" w:ascii="宋体" w:hAnsi="宋体" w:eastAsia="仿宋_GB2312" w:cs="Times New Roman"/>
          <w:sz w:val="32"/>
          <w:szCs w:val="32"/>
        </w:rPr>
        <w:t>万元和对个人和家庭的补助</w:t>
      </w:r>
      <w:r>
        <w:rPr>
          <w:rFonts w:ascii="仿宋" w:hAnsi="仿宋" w:eastAsia="仿宋" w:cs="仿宋"/>
          <w:spacing w:val="4"/>
          <w:sz w:val="32"/>
          <w:szCs w:val="32"/>
        </w:rPr>
        <w:t>2.64</w:t>
      </w:r>
      <w:r>
        <w:rPr>
          <w:rFonts w:hint="eastAsia" w:ascii="宋体" w:hAnsi="宋体" w:eastAsia="仿宋_GB2312" w:cs="Times New Roman"/>
          <w:sz w:val="32"/>
          <w:szCs w:val="32"/>
        </w:rPr>
        <w:t>万元；公用经费</w:t>
      </w:r>
      <w:r>
        <w:rPr>
          <w:rFonts w:ascii="仿宋" w:hAnsi="仿宋" w:eastAsia="仿宋" w:cs="仿宋"/>
          <w:spacing w:val="4"/>
          <w:sz w:val="32"/>
          <w:szCs w:val="32"/>
        </w:rPr>
        <w:t>49.82</w:t>
      </w:r>
      <w:r>
        <w:rPr>
          <w:rFonts w:hint="eastAsia" w:ascii="宋体" w:hAnsi="宋体" w:eastAsia="仿宋_GB2312" w:cs="Times New Roman"/>
          <w:sz w:val="32"/>
          <w:szCs w:val="32"/>
        </w:rPr>
        <w:t>万元，主要包括商品和服务支出</w:t>
      </w:r>
      <w:r>
        <w:rPr>
          <w:rFonts w:ascii="仿宋" w:hAnsi="仿宋" w:eastAsia="仿宋" w:cs="仿宋"/>
          <w:spacing w:val="4"/>
          <w:sz w:val="32"/>
          <w:szCs w:val="32"/>
        </w:rPr>
        <w:t>49.82</w:t>
      </w:r>
      <w:r>
        <w:rPr>
          <w:rFonts w:hint="eastAsia" w:ascii="宋体" w:hAnsi="宋体" w:eastAsia="仿宋_GB2312" w:cs="Times New Roman"/>
          <w:sz w:val="32"/>
          <w:szCs w:val="32"/>
        </w:rPr>
        <w:t>万元和资本性支出</w:t>
      </w:r>
      <w:r>
        <w:rPr>
          <w:rFonts w:ascii="仿宋" w:hAnsi="仿宋" w:eastAsia="仿宋" w:cs="仿宋"/>
          <w:spacing w:val="4"/>
          <w:sz w:val="32"/>
          <w:szCs w:val="32"/>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2020年“三公”经费一般公共财政拨款支出决算0万元，我单位本年</w:t>
      </w:r>
      <w:r>
        <w:rPr>
          <w:rFonts w:hint="eastAsia" w:ascii="宋体" w:hAnsi="宋体" w:eastAsia="仿宋_GB2312" w:cs="Times New Roman"/>
          <w:sz w:val="32"/>
          <w:szCs w:val="32"/>
          <w:lang w:eastAsia="zh-CN"/>
        </w:rPr>
        <w:t>无</w:t>
      </w:r>
      <w:r>
        <w:rPr>
          <w:rFonts w:hint="eastAsia" w:ascii="宋体" w:hAnsi="宋体" w:eastAsia="仿宋_GB2312" w:cs="Times New Roman"/>
          <w:sz w:val="32"/>
          <w:szCs w:val="32"/>
        </w:rPr>
        <w:t>三公经费</w:t>
      </w:r>
      <w:r>
        <w:rPr>
          <w:rFonts w:hint="eastAsia" w:ascii="宋体" w:hAnsi="宋体" w:eastAsia="仿宋_GB2312" w:cs="Times New Roman"/>
          <w:sz w:val="32"/>
          <w:szCs w:val="32"/>
          <w:lang w:eastAsia="zh-CN"/>
        </w:rPr>
        <w:t>支出</w:t>
      </w:r>
      <w:r>
        <w:rPr>
          <w:rFonts w:hint="eastAsia" w:ascii="宋体" w:hAnsi="宋体" w:eastAsia="仿宋_GB2312" w:cs="Times New Roman"/>
          <w:sz w:val="32"/>
          <w:szCs w:val="32"/>
        </w:rPr>
        <w:t>，比2019年无变化。其中：因公出国（境）费用0万元，比上年无变化；公务接待费0万元，比上年无变化；公务用车运行维护费0万元，比上年无变化；公务用车购置费0万元，比上年无变化。</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2020年政府性基金预算财政拨款本年收入0万元，本年支出0万元。</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单位机关运行经费支出</w:t>
      </w:r>
      <w:r>
        <w:rPr>
          <w:rFonts w:ascii="宋体" w:hAnsi="宋体" w:eastAsia="仿宋_GB2312" w:cs="Times New Roman"/>
          <w:sz w:val="32"/>
          <w:szCs w:val="32"/>
        </w:rPr>
        <w:t>0</w:t>
      </w:r>
      <w:r>
        <w:rPr>
          <w:rFonts w:hint="eastAsia" w:ascii="宋体" w:hAnsi="宋体" w:eastAsia="仿宋_GB2312" w:cs="Times New Roman"/>
          <w:sz w:val="32"/>
          <w:szCs w:val="32"/>
        </w:rPr>
        <w:t>万元，比2019年无变化，主要原因是：我单位本年无机关运行经费。</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2020年我单位政府采购总额0万元，其中：政府采购货物0万元、政府采购工程0万元、政府采购服务0万元。我单位本年无政府采购业务支出情况。</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2020年12月31日，本部门共有车辆0辆，其中，主要领导干部用车0辆、机要通信用车0辆、应急保障用车0辆、执法执勤用车0辆、特种专业技术用车0辆、离退休干部用车0辆、其他用车0辆，单价50万元（含）以上的通用设备0台（套），单价100万元（含）以上专用设备0台（套）。</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ind w:firstLine="320" w:firstLineChars="100"/>
        <w:rPr>
          <w:rFonts w:ascii="宋体" w:hAnsi="宋体" w:eastAsia="仿宋_GB2312" w:cs="Times New Roman"/>
          <w:sz w:val="32"/>
          <w:szCs w:val="32"/>
        </w:rPr>
      </w:pPr>
      <w:r>
        <w:rPr>
          <w:rFonts w:hint="eastAsia" w:ascii="宋体" w:hAnsi="宋体" w:eastAsia="仿宋_GB2312" w:cs="Times New Roman"/>
          <w:sz w:val="32"/>
          <w:szCs w:val="32"/>
        </w:rPr>
        <w:t>我单位本年未开展绩效管理工作。</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r>
        <w:rPr>
          <w:rFonts w:hint="eastAsia" w:ascii="黑体" w:hAnsi="黑体" w:eastAsia="黑体" w:cs="黑体"/>
          <w:snapToGrid w:val="0"/>
          <w:spacing w:val="-4"/>
          <w:kern w:val="0"/>
          <w:sz w:val="32"/>
          <w:szCs w:val="32"/>
        </w:rPr>
        <w:t>第四部分</w:t>
      </w:r>
      <w:r>
        <w:rPr>
          <w:rFonts w:ascii="黑体" w:hAnsi="黑体" w:eastAsia="黑体" w:cs="黑体"/>
          <w:snapToGrid w:val="0"/>
          <w:spacing w:val="-4"/>
          <w:kern w:val="0"/>
          <w:sz w:val="32"/>
          <w:szCs w:val="32"/>
        </w:rPr>
        <w:t>名词解释</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拔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Pr>
        <w:sectPr>
          <w:pgSz w:w="11906" w:h="16838"/>
          <w:pgMar w:top="1440" w:right="1800" w:bottom="1440" w:left="1800" w:header="851" w:footer="992" w:gutter="0"/>
          <w:pgNumType w:start="1"/>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E5498B"/>
    <w:rsid w:val="0B0F600F"/>
    <w:rsid w:val="0E152560"/>
    <w:rsid w:val="1C5614D0"/>
    <w:rsid w:val="29CA4C0E"/>
    <w:rsid w:val="2D16117C"/>
    <w:rsid w:val="39B14BEC"/>
    <w:rsid w:val="3C641B2D"/>
    <w:rsid w:val="48A233CB"/>
    <w:rsid w:val="4DC91CE4"/>
    <w:rsid w:val="4E120E6F"/>
    <w:rsid w:val="5A591494"/>
    <w:rsid w:val="5E4C6F2F"/>
    <w:rsid w:val="659E4A26"/>
    <w:rsid w:val="67E5498B"/>
    <w:rsid w:val="7C391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ody Text First Indent"/>
    <w:basedOn w:val="2"/>
    <w:unhideWhenUsed/>
    <w:qFormat/>
    <w:uiPriority w:val="99"/>
    <w:pPr>
      <w:spacing w:after="0"/>
      <w:ind w:firstLine="420"/>
    </w:pPr>
  </w:style>
  <w:style w:type="paragraph" w:customStyle="1" w:styleId="6">
    <w:name w:val="WPSOffice手动目录 1"/>
    <w:qFormat/>
    <w:uiPriority w:val="0"/>
    <w:rPr>
      <w:rFonts w:ascii="Times New Roman" w:hAnsi="Times New Roman" w:eastAsia="宋体" w:cs="Times New Roman"/>
      <w:lang w:val="en-US" w:eastAsia="zh-CN" w:bidi="ar-SA"/>
    </w:rPr>
  </w:style>
  <w:style w:type="paragraph" w:customStyle="1" w:styleId="7">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2021-11-01T13:32:00Z</dcterms:created>
  <dc:creator>小刚</dc:creator>
  <cp:lastModifiedBy>小刚</cp:lastModifiedBy>
  <cp:lastPrinted>2021-11-02T10:13:11Z</cp:lastPrinted>
  <dcterms:modified xsi:type="dcterms:W3CDTF">2021-11-02T10:13:14Z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9305D5BE93C1424CBDCF0FDB10E7648B</vt:lpwstr>
  </property>
</Properties>
</file>