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hint="eastAsia" w:ascii="黑体" w:eastAsia="黑体"/>
          <w:sz w:val="44"/>
          <w:szCs w:val="44"/>
        </w:rPr>
      </w:pPr>
      <w:r>
        <w:rPr>
          <w:rFonts w:hint="eastAsia" w:ascii="黑体" w:eastAsia="黑体"/>
          <w:sz w:val="44"/>
          <w:szCs w:val="44"/>
        </w:rPr>
        <w:t>朔州市朔城区收费中心</w:t>
      </w:r>
    </w:p>
    <w:p>
      <w:pPr>
        <w:jc w:val="center"/>
        <w:rPr>
          <w:rFonts w:ascii="黑体" w:eastAsia="黑体"/>
          <w:sz w:val="44"/>
          <w:szCs w:val="44"/>
        </w:rPr>
      </w:pPr>
      <w:r>
        <w:rPr>
          <w:rFonts w:hint="eastAsia" w:ascii="黑体" w:eastAsia="黑体"/>
          <w:sz w:val="44"/>
          <w:szCs w:val="44"/>
        </w:rPr>
        <w:t>2020年部门决算公开情况说明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400" w:firstLineChars="2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2020年度部门决算公开报表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三、2020年度部门决算情况说明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640" w:firstLineChars="200"/>
        <w:rPr>
          <w:rFonts w:ascii="仿宋" w:hAnsi="仿宋" w:eastAsia="仿宋" w:cs="仿宋"/>
          <w:sz w:val="32"/>
          <w:szCs w:val="32"/>
        </w:rPr>
      </w:pPr>
      <w:r>
        <w:rPr>
          <w:rFonts w:hint="eastAsia" w:ascii="仿宋_GB2312" w:hAnsi="宋体" w:eastAsia="仿宋_GB2312" w:cs="宋体"/>
          <w:color w:val="000000"/>
          <w:kern w:val="0"/>
          <w:sz w:val="32"/>
          <w:szCs w:val="32"/>
        </w:rPr>
        <w:t>1、负责完成全区行政和全额事业单位收费、罚款、基金等收入的收缴工作。</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本单位内设1个科室，即办公室。从预算单位构成看，</w:t>
      </w:r>
      <w:r>
        <w:rPr>
          <w:rFonts w:hint="eastAsia" w:ascii="仿宋" w:hAnsi="仿宋" w:eastAsia="仿宋" w:cs="仿宋"/>
          <w:sz w:val="32"/>
          <w:szCs w:val="32"/>
        </w:rPr>
        <w:t>朔州市朔城区收费中心</w:t>
      </w:r>
      <w:r>
        <w:rPr>
          <w:rFonts w:hint="eastAsia" w:ascii="宋体" w:hAnsi="宋体" w:eastAsia="仿宋_GB2312" w:cs="Times New Roman"/>
          <w:sz w:val="32"/>
          <w:szCs w:val="32"/>
        </w:rPr>
        <w:t>部门决算包括：本级决算。</w:t>
      </w: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第二部分2020</w:t>
      </w:r>
      <w:r>
        <w:rPr>
          <w:rFonts w:ascii="黑体" w:hAnsi="黑体" w:eastAsia="黑体" w:cs="黑体"/>
          <w:snapToGrid w:val="0"/>
          <w:color w:val="000000"/>
          <w:spacing w:val="-4"/>
          <w:kern w:val="0"/>
          <w:sz w:val="32"/>
          <w:szCs w:val="32"/>
        </w:rPr>
        <w:t xml:space="preserve"> 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17336_WPSOffice_Level1"/>
      <w:bookmarkStart w:id="4" w:name="_Toc25884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2020</w:t>
      </w:r>
      <w:r>
        <w:rPr>
          <w:rFonts w:ascii="黑体" w:hAnsi="黑体" w:eastAsia="黑体" w:cs="黑体"/>
          <w:snapToGrid w:val="0"/>
          <w:color w:val="000000"/>
          <w:spacing w:val="-4"/>
          <w:kern w:val="0"/>
          <w:sz w:val="32"/>
          <w:szCs w:val="32"/>
        </w:rPr>
        <w:t xml:space="preserve"> 年度部门决算情况说明</w:t>
      </w:r>
      <w:bookmarkEnd w:id="3"/>
      <w:bookmarkEnd w:id="4"/>
    </w:p>
    <w:p>
      <w:pPr>
        <w:numPr>
          <w:ilvl w:val="0"/>
          <w:numId w:val="2"/>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default" w:ascii="宋体" w:hAnsi="宋体" w:eastAsia="仿宋_GB2312" w:cs="Times New Roman"/>
          <w:sz w:val="32"/>
          <w:szCs w:val="32"/>
          <w:lang w:val="en-US" w:eastAsia="zh-CN"/>
        </w:rPr>
      </w:pPr>
      <w:bookmarkStart w:id="7" w:name="_Toc14383_WPSOffice_Level2"/>
      <w:r>
        <w:rPr>
          <w:rFonts w:hint="eastAsia" w:ascii="宋体" w:hAnsi="宋体" w:eastAsia="仿宋_GB2312" w:cs="Times New Roman"/>
          <w:sz w:val="32"/>
          <w:szCs w:val="32"/>
        </w:rPr>
        <w:t>2020 年 度 收 入 总 计100.44万元 、 支 出 总 计100.44万元。</w:t>
      </w:r>
      <w:r>
        <w:rPr>
          <w:rFonts w:hint="eastAsia" w:ascii="宋体" w:hAnsi="宋体" w:eastAsia="仿宋_GB2312" w:cs="Times New Roman"/>
          <w:sz w:val="32"/>
          <w:szCs w:val="32"/>
          <w:lang w:val="en-US" w:eastAsia="zh-CN"/>
        </w:rPr>
        <w:t>2019年未单独决算，无法对比。</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本年收入合计100.44万元，其中：财政拨款收入100.44万元;上级补助收入0万元；事业收入 0万元；经营收入0万元；附属单位上缴收入 0万元；其他收入0万元。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本年支出合计100.44万元 ，其中：基本支出100.44万元 ；项目支出0万元；上缴上级支出0万元，经营支出0万元；对附属单位补助支出0万元。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3250_WPSOffice_Level2"/>
      <w:bookmarkStart w:id="13" w:name="_Toc2892_WPSOffice_Level2"/>
      <w:r>
        <w:rPr>
          <w:rFonts w:hint="eastAsia" w:ascii="宋体" w:hAnsi="宋体" w:eastAsia="仿宋_GB2312" w:cs="Times New Roman"/>
          <w:sz w:val="32"/>
          <w:szCs w:val="32"/>
        </w:rPr>
        <w:t>2020 年度财政拨款收入总计100.44万元、支出总计100.44万元。</w:t>
      </w:r>
      <w:r>
        <w:rPr>
          <w:rFonts w:hint="eastAsia" w:ascii="宋体" w:hAnsi="宋体" w:eastAsia="仿宋_GB2312" w:cs="Times New Roman"/>
          <w:sz w:val="32"/>
          <w:szCs w:val="32"/>
          <w:lang w:val="en-US" w:eastAsia="zh-CN"/>
        </w:rPr>
        <w:t>2019年未单独决算，无法对比。</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 xml:space="preserve">2020 年度财政拨款支出100.44万元。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hint="default" w:ascii="仿宋" w:hAnsi="仿宋" w:eastAsia="仿宋_GB2312" w:cs="仿宋"/>
          <w:sz w:val="32"/>
          <w:szCs w:val="32"/>
          <w:lang w:val="en-US" w:eastAsia="zh-CN"/>
        </w:rPr>
      </w:pPr>
      <w:bookmarkStart w:id="14" w:name="_Toc27424_WPSOffice_Level2"/>
      <w:bookmarkStart w:id="15" w:name="_Toc1066_WPSOffice_Level2"/>
      <w:r>
        <w:rPr>
          <w:rFonts w:hint="eastAsia" w:ascii="宋体" w:hAnsi="宋体" w:eastAsia="仿宋_GB2312" w:cs="Times New Roman"/>
          <w:sz w:val="32"/>
          <w:szCs w:val="32"/>
        </w:rPr>
        <w:t>2020 年度财政拨款支出100.44万元，主要用于以下方面：</w:t>
      </w:r>
      <w:r>
        <w:rPr>
          <w:rFonts w:hint="eastAsia" w:ascii="宋体" w:hAnsi="宋体" w:eastAsia="仿宋_GB2312" w:cs="Times New Roman"/>
          <w:sz w:val="32"/>
          <w:szCs w:val="32"/>
          <w:lang w:val="en-US" w:eastAsia="zh-CN"/>
        </w:rPr>
        <w:t>201一般公共服务支出（类）100.44万元，占比100%。</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rPr>
        <w:t>2020年度一般公共预算财政拨款支出当年调整预算数100.44万元，支出决算为100.44万元，完成当年调整预算的100%。</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rPr>
        <w:t>2020 年度财政拨款基本支出</w:t>
      </w:r>
      <w:r>
        <w:rPr>
          <w:rFonts w:hint="eastAsia" w:ascii="仿宋" w:hAnsi="仿宋" w:eastAsia="仿宋" w:cs="仿宋"/>
          <w:spacing w:val="4"/>
          <w:sz w:val="32"/>
          <w:szCs w:val="32"/>
        </w:rPr>
        <w:t>100.44</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rPr>
        <w:t>87.75</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rPr>
        <w:t>87.69</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rPr>
        <w:t>0.06</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rPr>
        <w:t>12.69</w:t>
      </w:r>
      <w:r>
        <w:rPr>
          <w:rFonts w:hint="eastAsia" w:ascii="宋体" w:hAnsi="宋体" w:eastAsia="仿宋_GB2312" w:cs="Times New Roman"/>
          <w:sz w:val="32"/>
          <w:szCs w:val="32"/>
        </w:rPr>
        <w:t>万元，主要包括商品和服务支出12.69万元和资本性支出</w:t>
      </w:r>
      <w:r>
        <w:rPr>
          <w:rFonts w:hint="eastAsia" w:ascii="仿宋" w:hAnsi="仿宋" w:eastAsia="仿宋" w:cs="仿宋"/>
          <w:spacing w:val="4"/>
          <w:sz w:val="32"/>
          <w:szCs w:val="32"/>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hint="eastAsia" w:ascii="宋体" w:hAnsi="宋体" w:eastAsia="仿宋_GB2312" w:cs="Times New Roman"/>
          <w:sz w:val="32"/>
          <w:szCs w:val="32"/>
          <w:lang w:eastAsia="zh-CN"/>
        </w:rPr>
      </w:pPr>
      <w:bookmarkStart w:id="18" w:name="_Toc10214_WPSOffice_Level2"/>
      <w:bookmarkStart w:id="19" w:name="_Toc9131_WPSOffice_Level2"/>
      <w:r>
        <w:rPr>
          <w:rFonts w:hint="eastAsia" w:ascii="宋体" w:hAnsi="宋体" w:eastAsia="仿宋_GB2312" w:cs="Times New Roman"/>
          <w:sz w:val="32"/>
          <w:szCs w:val="32"/>
        </w:rPr>
        <w:t>2020年“三公”经费一般公共财政拨款支出决算</w:t>
      </w:r>
      <w:r>
        <w:rPr>
          <w:rFonts w:hint="eastAsia" w:ascii="仿宋" w:hAnsi="仿宋" w:eastAsia="仿宋" w:cs="仿宋"/>
          <w:spacing w:val="4"/>
          <w:sz w:val="32"/>
          <w:szCs w:val="32"/>
        </w:rPr>
        <w:t>0</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2020年政府性基金预算财政拨款本年收入0万元，本年支出0万元。</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本部门是事业单位无机关运行经费。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2020年我单位政府采购总额</w:t>
      </w:r>
      <w:r>
        <w:rPr>
          <w:rFonts w:hint="eastAsia" w:ascii="仿宋" w:hAnsi="仿宋" w:eastAsia="仿宋" w:cs="仿宋"/>
          <w:spacing w:val="4"/>
          <w:sz w:val="32"/>
          <w:szCs w:val="32"/>
        </w:rPr>
        <w:t>0</w:t>
      </w:r>
      <w:r>
        <w:rPr>
          <w:rFonts w:hint="eastAsia" w:ascii="宋体" w:hAnsi="宋体" w:eastAsia="仿宋_GB2312" w:cs="Times New Roman"/>
          <w:sz w:val="32"/>
          <w:szCs w:val="32"/>
        </w:rPr>
        <w:t>万元，其中：政府采购货物</w:t>
      </w:r>
      <w:r>
        <w:rPr>
          <w:rFonts w:hint="eastAsia" w:ascii="仿宋" w:hAnsi="仿宋" w:eastAsia="仿宋" w:cs="仿宋"/>
          <w:spacing w:val="4"/>
          <w:sz w:val="32"/>
          <w:szCs w:val="32"/>
        </w:rPr>
        <w:t>0</w:t>
      </w:r>
      <w:r>
        <w:rPr>
          <w:rFonts w:hint="eastAsia" w:ascii="宋体" w:hAnsi="宋体" w:eastAsia="仿宋_GB2312" w:cs="Times New Roman"/>
          <w:sz w:val="32"/>
          <w:szCs w:val="32"/>
        </w:rPr>
        <w:t>万元、政府采购工程0万元、政府采购服务0万元。无政府采购的部门，须说明本部门无政府采购业务支出情况。</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截至2020年12月31日，本部门共有车辆0辆，其中，主要领导干部用车0辆、机要通信用车0辆、应急保障用车0辆、执法执勤用车0辆、特 种专业技术用车0辆、离退休干部用车0辆、其他用车0辆， 单价50万元（含）以上的通用设备0台（套）， 单价100万元（含）以上专用设备0台（套）。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ascii="宋体" w:hAnsi="宋体" w:eastAsia="仿宋_GB2312" w:cs="Times New Roman"/>
          <w:sz w:val="32"/>
          <w:szCs w:val="32"/>
        </w:rPr>
      </w:pPr>
      <w:r>
        <w:rPr>
          <w:rFonts w:hint="eastAsia" w:ascii="宋体" w:hAnsi="宋体" w:eastAsia="仿宋_GB2312" w:cs="Times New Roman"/>
          <w:sz w:val="32"/>
          <w:szCs w:val="32"/>
        </w:rPr>
        <w:t>本</w:t>
      </w:r>
      <w:r>
        <w:rPr>
          <w:rFonts w:hint="eastAsia" w:ascii="宋体" w:hAnsi="宋体" w:eastAsia="仿宋_GB2312" w:cs="Times New Roman"/>
          <w:sz w:val="32"/>
          <w:szCs w:val="32"/>
          <w:lang w:val="en-US" w:eastAsia="zh-CN"/>
        </w:rPr>
        <w:t>单位</w:t>
      </w:r>
      <w:r>
        <w:rPr>
          <w:rFonts w:hint="eastAsia" w:ascii="宋体" w:hAnsi="宋体" w:eastAsia="仿宋_GB2312" w:cs="Times New Roman"/>
          <w:sz w:val="32"/>
          <w:szCs w:val="32"/>
        </w:rPr>
        <w:t>当年没有绩效目标管理的项目未开展绩效管理工作。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bookmarkStart w:id="22" w:name="_GoBack"/>
      <w:bookmarkEnd w:id="22"/>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拔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E3F0B7D"/>
    <w:rsid w:val="000014A7"/>
    <w:rsid w:val="00040406"/>
    <w:rsid w:val="00052B5B"/>
    <w:rsid w:val="003C074E"/>
    <w:rsid w:val="00774AFB"/>
    <w:rsid w:val="007B52BF"/>
    <w:rsid w:val="00B37D45"/>
    <w:rsid w:val="00D74A22"/>
    <w:rsid w:val="00DA3948"/>
    <w:rsid w:val="00DC5669"/>
    <w:rsid w:val="00E4217F"/>
    <w:rsid w:val="0E112A18"/>
    <w:rsid w:val="100E32FD"/>
    <w:rsid w:val="11372EC1"/>
    <w:rsid w:val="14A94551"/>
    <w:rsid w:val="16303A0F"/>
    <w:rsid w:val="27320DE5"/>
    <w:rsid w:val="2B825A7A"/>
    <w:rsid w:val="30167542"/>
    <w:rsid w:val="3F28132A"/>
    <w:rsid w:val="5B9271A5"/>
    <w:rsid w:val="63440C8C"/>
    <w:rsid w:val="664E041F"/>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2526</Words>
  <Characters>686</Characters>
  <Lines>5</Lines>
  <Paragraphs>6</Paragraphs>
  <TotalTime>2</TotalTime>
  <ScaleCrop>false</ScaleCrop>
  <LinksUpToDate>false</LinksUpToDate>
  <CharactersWithSpaces>3206</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work</cp:lastModifiedBy>
  <cp:lastPrinted>2021-10-28T11:45:00Z</cp:lastPrinted>
  <dcterms:modified xsi:type="dcterms:W3CDTF">2021-11-02T09:30:02Z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ies>
</file>