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left="0" w:right="0" w:firstLine="0"/>
        <w:jc w:val="center"/>
        <w:textAlignment w:val="auto"/>
        <w:rPr>
          <w:rStyle w:val="6"/>
          <w:rFonts w:hint="eastAsia" w:ascii="仿宋" w:hAnsi="仿宋" w:eastAsia="仿宋" w:cs="仿宋"/>
          <w:color w:val="auto"/>
          <w:spacing w:val="0"/>
          <w:sz w:val="28"/>
          <w:szCs w:val="28"/>
          <w:shd w:val="clear" w:fill="FFFFFF"/>
        </w:rPr>
      </w:pPr>
      <w:bookmarkStart w:id="0" w:name="_GoBack"/>
      <w:r>
        <w:rPr>
          <w:rStyle w:val="6"/>
          <w:rFonts w:hint="eastAsia" w:ascii="仿宋" w:hAnsi="仿宋" w:eastAsia="仿宋" w:cs="仿宋"/>
          <w:color w:val="auto"/>
          <w:spacing w:val="0"/>
          <w:sz w:val="28"/>
          <w:szCs w:val="28"/>
          <w:shd w:val="clear" w:fill="FFFFFF"/>
          <w:lang w:val="en-US" w:eastAsia="zh-CN"/>
        </w:rPr>
        <w:t>2022年度</w:t>
      </w:r>
      <w:r>
        <w:rPr>
          <w:rStyle w:val="6"/>
          <w:rFonts w:hint="eastAsia" w:ascii="仿宋" w:hAnsi="仿宋" w:eastAsia="仿宋" w:cs="仿宋"/>
          <w:color w:val="auto"/>
          <w:spacing w:val="0"/>
          <w:sz w:val="28"/>
          <w:szCs w:val="28"/>
          <w:shd w:val="clear" w:fill="FFFFFF"/>
          <w:lang w:eastAsia="zh-CN"/>
        </w:rPr>
        <w:t>朔城区</w:t>
      </w:r>
      <w:r>
        <w:rPr>
          <w:rStyle w:val="6"/>
          <w:rFonts w:hint="eastAsia" w:ascii="仿宋" w:hAnsi="仿宋" w:eastAsia="仿宋" w:cs="仿宋"/>
          <w:color w:val="auto"/>
          <w:spacing w:val="0"/>
          <w:sz w:val="28"/>
          <w:szCs w:val="28"/>
          <w:shd w:val="clear" w:fill="FFFFFF"/>
        </w:rPr>
        <w:t>政府性债务情况说明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left="0" w:right="0" w:firstLine="0"/>
        <w:jc w:val="center"/>
        <w:textAlignment w:val="auto"/>
        <w:rPr>
          <w:rStyle w:val="6"/>
          <w:rFonts w:hint="eastAsia" w:ascii="仿宋" w:hAnsi="仿宋" w:eastAsia="仿宋" w:cs="仿宋"/>
          <w:color w:val="auto"/>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rPr>
        <w:t>一、</w:t>
      </w:r>
      <w:r>
        <w:rPr>
          <w:rFonts w:hint="eastAsia" w:ascii="仿宋" w:hAnsi="仿宋" w:eastAsia="仿宋" w:cs="仿宋"/>
          <w:color w:val="auto"/>
          <w:spacing w:val="0"/>
          <w:sz w:val="28"/>
          <w:szCs w:val="28"/>
          <w:shd w:val="clear" w:fill="FFFFFF"/>
          <w:lang w:val="en-US" w:eastAsia="zh-CN"/>
        </w:rPr>
        <w:t>2021年本地区地方政府债务限额及余额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1.截止2021年12月底，朔城区债务限额114965万元，其中：一般债务限额50844万元、专项债务限额64121万元。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rPr>
      </w:pPr>
      <w:r>
        <w:rPr>
          <w:rFonts w:hint="eastAsia" w:ascii="仿宋" w:hAnsi="仿宋" w:eastAsia="仿宋" w:cs="仿宋"/>
          <w:color w:val="auto"/>
          <w:spacing w:val="0"/>
          <w:sz w:val="28"/>
          <w:szCs w:val="28"/>
          <w:shd w:val="clear" w:fill="FFFFFF"/>
          <w:lang w:val="en-US" w:eastAsia="zh-CN"/>
        </w:rPr>
        <w:t>2.截止2021年12月底，朔城区债务余额114965万元，其中：一般债务余额50844万元、专项债务余额64121万元，没有超限额。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二、2021年本地区地方政府债券转贷及还本付息情况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2021年，朔城区债券转贷收入27205万元，其中：地方政府一般债券转贷收入13284万元，地方政府专项债券转贷收入13921万元。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2021年朔城区政府债券还本7万元，其中：一般债券还本7万元、专项债券还本0万元；债券付息3246万元，其中：一般债券付息1563万元、专项债券付息1683万元。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三、2022年地方政府债券还本付息预算数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2022年朔城区政府</w:t>
      </w:r>
      <w:r>
        <w:rPr>
          <w:rFonts w:hint="eastAsia" w:ascii="仿宋" w:hAnsi="仿宋" w:eastAsia="仿宋" w:cs="仿宋"/>
          <w:color w:val="auto"/>
          <w:spacing w:val="0"/>
          <w:sz w:val="28"/>
          <w:szCs w:val="28"/>
          <w:shd w:val="clear" w:fill="FFFFFF"/>
          <w:lang w:val="en-US" w:eastAsia="zh-CN"/>
        </w:rPr>
        <w:t>债券还本0万元，其</w:t>
      </w:r>
      <w:r>
        <w:rPr>
          <w:rFonts w:hint="eastAsia" w:ascii="仿宋" w:hAnsi="仿宋" w:eastAsia="仿宋" w:cs="仿宋"/>
          <w:color w:val="auto"/>
          <w:spacing w:val="0"/>
          <w:sz w:val="28"/>
          <w:szCs w:val="28"/>
          <w:shd w:val="clear" w:fill="FFFFFF"/>
          <w:lang w:val="en-US" w:eastAsia="zh-CN"/>
        </w:rPr>
        <w:t>中：一般债券还本0万元、专项债券还本0万元；政府债券付息3743万元，其中：一般债券付息1828万元、专项债券付息1915万元。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四、2022年本地区地方政府债券资金使用安排情况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2022年朔城区债券转贷收入16000万元，其中：地方政府一般债券转贷收入6000万元，地方政府专项债券转贷收入10000万元。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一般债券转贷资金6000万元，使用安排情况如下：朔州市朔城区教育局朔城区福源中学附属幼儿园改造工程640万元，朔城区第八小学附属幼儿园改造工程470万元，朔城区第十中学附属幼儿园改造工程720万元,朔州市朔城区住房和城乡建设局朔城区第二幼儿园改造建设项目1000万元，朔城区第八幼儿园建设项目1000万元，朔州市朔城区第六小学校新建教学楼2170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auto"/>
          <w:spacing w:val="0"/>
          <w:sz w:val="28"/>
          <w:szCs w:val="28"/>
          <w:shd w:val="clear" w:fill="FFFFFF"/>
          <w:lang w:val="en-US" w:eastAsia="zh-CN"/>
        </w:rPr>
      </w:pPr>
      <w:r>
        <w:rPr>
          <w:rFonts w:hint="eastAsia" w:ascii="仿宋" w:hAnsi="仿宋" w:eastAsia="仿宋" w:cs="仿宋"/>
          <w:color w:val="auto"/>
          <w:spacing w:val="0"/>
          <w:sz w:val="28"/>
          <w:szCs w:val="28"/>
          <w:shd w:val="clear" w:fill="FFFFFF"/>
          <w:lang w:val="en-US" w:eastAsia="zh-CN"/>
        </w:rPr>
        <w:t>专项债券转贷资金10000万元，使用安排情况如下：朔州市朔城区人民医院朔州市朔城区人民医院新建门诊住院综合楼改扩建工程建设项目10000万元。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left="0" w:right="0" w:firstLine="0"/>
        <w:jc w:val="both"/>
        <w:textAlignment w:val="auto"/>
        <w:rPr>
          <w:rFonts w:hint="eastAsia" w:ascii="仿宋" w:hAnsi="仿宋" w:eastAsia="仿宋" w:cs="仿宋"/>
          <w:b w:val="0"/>
          <w:bCs/>
          <w:color w:val="auto"/>
          <w:sz w:val="28"/>
          <w:szCs w:val="28"/>
        </w:rPr>
      </w:pPr>
      <w:r>
        <w:rPr>
          <w:rStyle w:val="6"/>
          <w:rFonts w:hint="eastAsia" w:ascii="仿宋" w:hAnsi="仿宋" w:eastAsia="仿宋" w:cs="仿宋"/>
          <w:b w:val="0"/>
          <w:bCs/>
          <w:color w:val="auto"/>
          <w:sz w:val="28"/>
          <w:szCs w:val="28"/>
          <w:shd w:val="clear" w:fill="FFFFFF"/>
          <w:lang w:eastAsia="zh-CN"/>
        </w:rPr>
        <w:t>五、</w:t>
      </w:r>
      <w:r>
        <w:rPr>
          <w:rStyle w:val="6"/>
          <w:rFonts w:hint="eastAsia" w:ascii="仿宋" w:hAnsi="仿宋" w:eastAsia="仿宋" w:cs="仿宋"/>
          <w:b w:val="0"/>
          <w:bCs/>
          <w:color w:val="auto"/>
          <w:sz w:val="28"/>
          <w:szCs w:val="28"/>
          <w:shd w:val="clear" w:fill="FFFFFF"/>
        </w:rPr>
        <w:t>政府债务重要事项解释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2" w:firstLineChars="200"/>
        <w:jc w:val="left"/>
        <w:textAlignment w:val="auto"/>
        <w:rPr>
          <w:rFonts w:hint="eastAsia" w:ascii="仿宋" w:hAnsi="仿宋" w:eastAsia="仿宋" w:cs="仿宋"/>
          <w:color w:val="auto"/>
          <w:sz w:val="28"/>
          <w:szCs w:val="28"/>
        </w:rPr>
      </w:pPr>
      <w:r>
        <w:rPr>
          <w:rStyle w:val="6"/>
          <w:rFonts w:hint="eastAsia" w:ascii="仿宋" w:hAnsi="仿宋" w:eastAsia="仿宋" w:cs="仿宋"/>
          <w:color w:val="auto"/>
          <w:sz w:val="28"/>
          <w:szCs w:val="28"/>
          <w:shd w:val="clear" w:fill="FFFFFF"/>
          <w:lang w:val="en-US" w:eastAsia="zh-CN"/>
        </w:rPr>
        <w:t>1、</w:t>
      </w:r>
      <w:r>
        <w:rPr>
          <w:rStyle w:val="6"/>
          <w:rFonts w:hint="eastAsia" w:ascii="仿宋" w:hAnsi="仿宋" w:eastAsia="仿宋" w:cs="仿宋"/>
          <w:color w:val="auto"/>
          <w:sz w:val="28"/>
          <w:szCs w:val="28"/>
          <w:shd w:val="clear" w:fill="FFFFFF"/>
        </w:rPr>
        <w:t>一般债务。</w:t>
      </w:r>
      <w:r>
        <w:rPr>
          <w:rFonts w:hint="eastAsia" w:ascii="仿宋" w:hAnsi="仿宋" w:eastAsia="仿宋" w:cs="仿宋"/>
          <w:color w:val="auto"/>
          <w:sz w:val="28"/>
          <w:szCs w:val="28"/>
          <w:shd w:val="clear" w:fill="FFFFFF"/>
        </w:rPr>
        <w:t>地方政府一般债务包括地方政府一般债券、地方政府负有偿还责任的国际金融组织和外国政府贷款转贷债务、清理甄别认定的截至2014年12月31日费地方政府债券形式的存量一般债务。一般债务收入、安排的支出、还本付息纳入一般公共预算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2" w:firstLineChars="200"/>
        <w:jc w:val="left"/>
        <w:textAlignment w:val="auto"/>
        <w:rPr>
          <w:rFonts w:hint="eastAsia" w:ascii="仿宋" w:hAnsi="仿宋" w:eastAsia="仿宋" w:cs="仿宋"/>
          <w:color w:val="auto"/>
          <w:sz w:val="28"/>
          <w:szCs w:val="28"/>
        </w:rPr>
      </w:pPr>
      <w:r>
        <w:rPr>
          <w:rStyle w:val="6"/>
          <w:rFonts w:hint="eastAsia" w:ascii="仿宋" w:hAnsi="仿宋" w:eastAsia="仿宋" w:cs="仿宋"/>
          <w:color w:val="auto"/>
          <w:sz w:val="28"/>
          <w:szCs w:val="28"/>
          <w:shd w:val="clear" w:fill="FFFFFF"/>
          <w:lang w:val="en-US" w:eastAsia="zh-CN"/>
        </w:rPr>
        <w:t>2、</w:t>
      </w:r>
      <w:r>
        <w:rPr>
          <w:rStyle w:val="6"/>
          <w:rFonts w:hint="eastAsia" w:ascii="仿宋" w:hAnsi="仿宋" w:eastAsia="仿宋" w:cs="仿宋"/>
          <w:color w:val="auto"/>
          <w:sz w:val="28"/>
          <w:szCs w:val="28"/>
          <w:shd w:val="clear" w:fill="FFFFFF"/>
        </w:rPr>
        <w:t>专项债务。</w:t>
      </w:r>
      <w:r>
        <w:rPr>
          <w:rFonts w:hint="eastAsia" w:ascii="仿宋" w:hAnsi="仿宋" w:eastAsia="仿宋" w:cs="仿宋"/>
          <w:color w:val="auto"/>
          <w:sz w:val="28"/>
          <w:szCs w:val="28"/>
          <w:shd w:val="clear" w:fill="FFFFFF"/>
        </w:rPr>
        <w:t>地方政府专项债券包括地方政府专项债务、清理甄别认定的截至2014年12月31日非地方政府债券形式的存量专项债务。专项债务收入、安排的支出、还本付息纳入政府性基金预算管理。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2" w:firstLineChars="200"/>
        <w:jc w:val="left"/>
        <w:textAlignment w:val="auto"/>
        <w:rPr>
          <w:rFonts w:hint="eastAsia" w:ascii="仿宋" w:hAnsi="仿宋" w:eastAsia="仿宋" w:cs="仿宋"/>
          <w:color w:val="auto"/>
          <w:sz w:val="28"/>
          <w:szCs w:val="28"/>
        </w:rPr>
      </w:pPr>
      <w:r>
        <w:rPr>
          <w:rStyle w:val="6"/>
          <w:rFonts w:hint="eastAsia" w:ascii="仿宋" w:hAnsi="仿宋" w:eastAsia="仿宋" w:cs="仿宋"/>
          <w:color w:val="auto"/>
          <w:sz w:val="28"/>
          <w:szCs w:val="28"/>
          <w:shd w:val="clear" w:fill="FFFFFF"/>
          <w:lang w:val="en-US" w:eastAsia="zh-CN"/>
        </w:rPr>
        <w:t>3、</w:t>
      </w:r>
      <w:r>
        <w:rPr>
          <w:rStyle w:val="6"/>
          <w:rFonts w:hint="eastAsia" w:ascii="仿宋" w:hAnsi="仿宋" w:eastAsia="仿宋" w:cs="仿宋"/>
          <w:color w:val="auto"/>
          <w:sz w:val="28"/>
          <w:szCs w:val="28"/>
          <w:shd w:val="clear" w:fill="FFFFFF"/>
        </w:rPr>
        <w:t>限额管理。</w:t>
      </w:r>
      <w:r>
        <w:rPr>
          <w:rFonts w:hint="eastAsia" w:ascii="仿宋" w:hAnsi="仿宋" w:eastAsia="仿宋" w:cs="仿宋"/>
          <w:color w:val="auto"/>
          <w:sz w:val="28"/>
          <w:szCs w:val="28"/>
          <w:shd w:val="clear" w:fill="FFFFFF"/>
        </w:rPr>
        <w:t>地方政府债务规模实行限额管理，地方政府举债不得突破批准的限额。地方政府一般债务和专项债务规模纳入限额管理，由国务院确定并报全国人大或其常委会批准，分地区限额由财政部在全国人大或其常委会批准的地方政府债务规模内根据各地区债务风险、财力状况等因素测算并报国务院批准。</w:t>
      </w:r>
    </w:p>
    <w:p>
      <w:pPr>
        <w:keepNext w:val="0"/>
        <w:keepLines w:val="0"/>
        <w:pageBreakBefore w:val="0"/>
        <w:kinsoku/>
        <w:wordWrap/>
        <w:overflowPunct/>
        <w:topLinePunct w:val="0"/>
        <w:autoSpaceDE/>
        <w:autoSpaceDN/>
        <w:bidi w:val="0"/>
        <w:adjustRightInd/>
        <w:snapToGrid/>
        <w:spacing w:line="240" w:lineRule="atLeas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附件：2020年度债务公开表组</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ZWQyYjljMzlhNWU3N2UyYjJiZTdjOWIyMjVmNjkifQ=="/>
  </w:docVars>
  <w:rsids>
    <w:rsidRoot w:val="21307C02"/>
    <w:rsid w:val="044E7FD9"/>
    <w:rsid w:val="0EF00ADE"/>
    <w:rsid w:val="19D14949"/>
    <w:rsid w:val="21307C02"/>
    <w:rsid w:val="32F1284F"/>
    <w:rsid w:val="58454CE1"/>
    <w:rsid w:val="5E92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2022-08-08T01:23:00Z</dcterms:created>
  <dc:creator>Administrator</dc:creator>
  <cp:lastModifiedBy>Administrator</cp:lastModifiedBy>
  <dcterms:modified xsi:type="dcterms:W3CDTF">2022-08-18T08:09:34Z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BDCCB2DAD2DB403EB7E52EF868CF0629</vt:lpwstr>
  </property>
</Properties>
</file>