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E1F746">
      <w:pPr>
        <w:shd w:val="clear" w:color="auto" w:fill="FFFFFF"/>
        <w:snapToGrid/>
        <w:spacing w:before="0" w:beforeAutospacing="0" w:after="0" w:afterAutospacing="0" w:line="800" w:lineRule="exact"/>
        <w:jc w:val="both"/>
        <w:textAlignment w:val="baseline"/>
        <w:rPr>
          <w:rFonts w:ascii="方正小标宋简体" w:hAnsi="仿宋" w:eastAsia="方正小标宋简体" w:cs="黑体"/>
          <w:b w:val="0"/>
          <w:i w:val="0"/>
          <w:caps w:val="0"/>
          <w:spacing w:val="0"/>
          <w:w w:val="100"/>
          <w:kern w:val="0"/>
          <w:sz w:val="28"/>
          <w:szCs w:val="28"/>
          <w:highlight w:val="none"/>
        </w:rPr>
      </w:pPr>
    </w:p>
    <w:p w14:paraId="0C769470">
      <w:pPr>
        <w:shd w:val="clear" w:color="auto" w:fill="FFFFFF"/>
        <w:snapToGrid/>
        <w:spacing w:before="0" w:beforeAutospacing="0" w:after="0" w:afterAutospacing="0" w:line="700" w:lineRule="exact"/>
        <w:jc w:val="center"/>
        <w:textAlignment w:val="baseline"/>
        <w:rPr>
          <w:rFonts w:ascii="方正小标宋简体" w:hAnsi="仿宋" w:eastAsia="方正小标宋简体" w:cs="黑体"/>
          <w:b w:val="0"/>
          <w:i w:val="0"/>
          <w:caps w:val="0"/>
          <w:spacing w:val="0"/>
          <w:w w:val="100"/>
          <w:kern w:val="0"/>
          <w:sz w:val="44"/>
          <w:szCs w:val="44"/>
          <w:highlight w:val="none"/>
        </w:rPr>
      </w:pPr>
      <w:r>
        <w:rPr>
          <w:rFonts w:hint="eastAsia" w:ascii="方正小标宋简体" w:hAnsi="仿宋" w:eastAsia="方正小标宋简体" w:cs="黑体"/>
          <w:b w:val="0"/>
          <w:i w:val="0"/>
          <w:caps w:val="0"/>
          <w:spacing w:val="0"/>
          <w:w w:val="100"/>
          <w:kern w:val="0"/>
          <w:sz w:val="44"/>
          <w:szCs w:val="44"/>
          <w:highlight w:val="none"/>
        </w:rPr>
        <w:t>朔城区20</w:t>
      </w:r>
      <w:r>
        <w:rPr>
          <w:rFonts w:hint="eastAsia" w:ascii="方正小标宋简体" w:hAnsi="仿宋" w:eastAsia="方正小标宋简体" w:cs="黑体"/>
          <w:b w:val="0"/>
          <w:i w:val="0"/>
          <w:caps w:val="0"/>
          <w:spacing w:val="0"/>
          <w:w w:val="100"/>
          <w:kern w:val="0"/>
          <w:sz w:val="44"/>
          <w:szCs w:val="44"/>
          <w:highlight w:val="none"/>
          <w:lang w:val="en-US" w:eastAsia="zh-CN"/>
        </w:rPr>
        <w:t>20</w:t>
      </w:r>
      <w:r>
        <w:rPr>
          <w:rFonts w:hint="eastAsia" w:ascii="方正小标宋简体" w:hAnsi="仿宋" w:eastAsia="方正小标宋简体" w:cs="黑体"/>
          <w:b w:val="0"/>
          <w:i w:val="0"/>
          <w:caps w:val="0"/>
          <w:spacing w:val="0"/>
          <w:w w:val="100"/>
          <w:kern w:val="0"/>
          <w:sz w:val="44"/>
          <w:szCs w:val="44"/>
          <w:highlight w:val="none"/>
        </w:rPr>
        <w:t>年财政预算执行情况</w:t>
      </w:r>
    </w:p>
    <w:p w14:paraId="61DA5AFB">
      <w:pPr>
        <w:shd w:val="clear" w:color="auto" w:fill="FFFFFF"/>
        <w:snapToGrid/>
        <w:spacing w:before="0" w:beforeAutospacing="0" w:after="0" w:afterAutospacing="0" w:line="700" w:lineRule="exact"/>
        <w:jc w:val="center"/>
        <w:textAlignment w:val="baseline"/>
        <w:rPr>
          <w:rFonts w:ascii="方正小标宋简体" w:hAnsi="仿宋" w:eastAsia="方正小标宋简体" w:cs="黑体"/>
          <w:b w:val="0"/>
          <w:i w:val="0"/>
          <w:caps w:val="0"/>
          <w:spacing w:val="0"/>
          <w:w w:val="100"/>
          <w:kern w:val="0"/>
          <w:sz w:val="44"/>
          <w:szCs w:val="44"/>
          <w:highlight w:val="none"/>
        </w:rPr>
      </w:pPr>
      <w:r>
        <w:rPr>
          <w:rFonts w:hint="eastAsia" w:ascii="方正小标宋简体" w:hAnsi="仿宋" w:eastAsia="方正小标宋简体" w:cs="黑体"/>
          <w:b w:val="0"/>
          <w:i w:val="0"/>
          <w:caps w:val="0"/>
          <w:spacing w:val="0"/>
          <w:w w:val="100"/>
          <w:kern w:val="0"/>
          <w:sz w:val="44"/>
          <w:szCs w:val="44"/>
          <w:highlight w:val="none"/>
        </w:rPr>
        <w:t>和202</w:t>
      </w:r>
      <w:r>
        <w:rPr>
          <w:rFonts w:hint="eastAsia" w:ascii="方正小标宋简体" w:hAnsi="仿宋" w:eastAsia="方正小标宋简体" w:cs="黑体"/>
          <w:b w:val="0"/>
          <w:i w:val="0"/>
          <w:caps w:val="0"/>
          <w:spacing w:val="0"/>
          <w:w w:val="100"/>
          <w:kern w:val="0"/>
          <w:sz w:val="44"/>
          <w:szCs w:val="44"/>
          <w:highlight w:val="none"/>
          <w:lang w:val="en-US" w:eastAsia="zh-CN"/>
        </w:rPr>
        <w:t>1</w:t>
      </w:r>
      <w:r>
        <w:rPr>
          <w:rFonts w:hint="eastAsia" w:ascii="方正小标宋简体" w:hAnsi="仿宋" w:eastAsia="方正小标宋简体" w:cs="黑体"/>
          <w:b w:val="0"/>
          <w:i w:val="0"/>
          <w:caps w:val="0"/>
          <w:spacing w:val="0"/>
          <w:w w:val="100"/>
          <w:kern w:val="0"/>
          <w:sz w:val="44"/>
          <w:szCs w:val="44"/>
          <w:highlight w:val="none"/>
        </w:rPr>
        <w:t>年财政预算（草案）的报告</w:t>
      </w:r>
    </w:p>
    <w:p w14:paraId="41074924">
      <w:pPr>
        <w:shd w:val="clear" w:color="auto" w:fill="FFFFFF"/>
        <w:snapToGrid/>
        <w:spacing w:before="0" w:beforeAutospacing="0" w:after="0" w:afterAutospacing="0" w:line="460" w:lineRule="exact"/>
        <w:jc w:val="both"/>
        <w:textAlignment w:val="baseline"/>
        <w:rPr>
          <w:rFonts w:ascii="仿宋" w:hAnsi="仿宋" w:cs="Times New Roman"/>
          <w:b w:val="0"/>
          <w:i w:val="0"/>
          <w:caps w:val="0"/>
          <w:spacing w:val="0"/>
          <w:w w:val="100"/>
          <w:kern w:val="0"/>
          <w:sz w:val="32"/>
          <w:szCs w:val="32"/>
          <w:highlight w:val="none"/>
        </w:rPr>
      </w:pPr>
      <w:r>
        <w:rPr>
          <w:rFonts w:ascii="仿宋" w:hAnsi="仿宋" w:cs="Times New Roman"/>
          <w:b w:val="0"/>
          <w:i w:val="0"/>
          <w:caps w:val="0"/>
          <w:spacing w:val="0"/>
          <w:w w:val="100"/>
          <w:kern w:val="0"/>
          <w:sz w:val="32"/>
          <w:szCs w:val="32"/>
          <w:highlight w:val="none"/>
        </w:rPr>
        <w:t xml:space="preserve"> </w:t>
      </w:r>
    </w:p>
    <w:p w14:paraId="57AE678B">
      <w:pPr>
        <w:snapToGrid/>
        <w:spacing w:before="0" w:beforeAutospacing="0" w:after="0" w:afterAutospacing="0" w:line="620" w:lineRule="exact"/>
        <w:jc w:val="center"/>
        <w:textAlignment w:val="baseline"/>
        <w:rPr>
          <w:rFonts w:ascii="楷体_GB2312" w:hAnsi="仿宋" w:eastAsia="楷体_GB2312" w:cs="Times New Roman"/>
          <w:b w:val="0"/>
          <w:i w:val="0"/>
          <w:caps w:val="0"/>
          <w:spacing w:val="0"/>
          <w:w w:val="100"/>
          <w:kern w:val="0"/>
          <w:sz w:val="32"/>
          <w:szCs w:val="32"/>
          <w:highlight w:val="none"/>
        </w:rPr>
      </w:pPr>
      <w:r>
        <w:rPr>
          <w:rFonts w:hint="eastAsia" w:ascii="楷体_GB2312" w:hAnsi="仿宋" w:eastAsia="楷体_GB2312" w:cs="楷体_GB2312"/>
          <w:b w:val="0"/>
          <w:i w:val="0"/>
          <w:caps w:val="0"/>
          <w:spacing w:val="0"/>
          <w:w w:val="100"/>
          <w:kern w:val="0"/>
          <w:sz w:val="32"/>
          <w:szCs w:val="32"/>
          <w:highlight w:val="none"/>
        </w:rPr>
        <w:t>（</w:t>
      </w:r>
      <w:r>
        <w:rPr>
          <w:rFonts w:hint="eastAsia" w:ascii="楷体_GB2312" w:hAnsi="仿宋" w:eastAsia="楷体_GB2312"/>
          <w:b w:val="0"/>
          <w:i w:val="0"/>
          <w:caps w:val="0"/>
          <w:spacing w:val="0"/>
          <w:w w:val="100"/>
          <w:kern w:val="0"/>
          <w:sz w:val="32"/>
          <w:szCs w:val="32"/>
          <w:highlight w:val="none"/>
        </w:rPr>
        <w:t>202</w:t>
      </w:r>
      <w:r>
        <w:rPr>
          <w:rFonts w:hint="eastAsia" w:ascii="楷体_GB2312" w:hAnsi="仿宋" w:eastAsia="楷体_GB2312"/>
          <w:b w:val="0"/>
          <w:i w:val="0"/>
          <w:caps w:val="0"/>
          <w:spacing w:val="0"/>
          <w:w w:val="100"/>
          <w:kern w:val="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楷体_GB2312" w:hAnsi="仿宋" w:eastAsia="楷体_GB2312"/>
          <w:b w:val="0"/>
          <w:i w:val="0"/>
          <w:caps w:val="0"/>
          <w:spacing w:val="0"/>
          <w:w w:val="100"/>
          <w:kern w:val="0"/>
          <w:sz w:val="32"/>
          <w:szCs w:val="32"/>
          <w:highlight w:val="none"/>
        </w:rPr>
        <w:t>年</w:t>
      </w:r>
      <w:r>
        <w:rPr>
          <w:rFonts w:hint="eastAsia" w:ascii="楷体_GB2312" w:hAnsi="仿宋" w:eastAsia="楷体_GB2312"/>
          <w:b w:val="0"/>
          <w:i w:val="0"/>
          <w:caps w:val="0"/>
          <w:spacing w:val="0"/>
          <w:w w:val="100"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楷体_GB2312" w:hAnsi="仿宋" w:eastAsia="楷体_GB2312"/>
          <w:b w:val="0"/>
          <w:i w:val="0"/>
          <w:caps w:val="0"/>
          <w:spacing w:val="0"/>
          <w:w w:val="100"/>
          <w:kern w:val="0"/>
          <w:sz w:val="32"/>
          <w:szCs w:val="32"/>
          <w:highlight w:val="none"/>
        </w:rPr>
        <w:t>月</w:t>
      </w:r>
      <w:r>
        <w:rPr>
          <w:rFonts w:hint="eastAsia" w:ascii="楷体_GB2312" w:hAnsi="仿宋" w:eastAsia="楷体_GB2312"/>
          <w:b w:val="0"/>
          <w:i w:val="0"/>
          <w:caps w:val="0"/>
          <w:spacing w:val="0"/>
          <w:w w:val="100"/>
          <w:kern w:val="0"/>
          <w:sz w:val="32"/>
          <w:szCs w:val="32"/>
          <w:highlight w:val="none"/>
          <w:lang w:val="en-US" w:eastAsia="zh-CN"/>
        </w:rPr>
        <w:t>16</w:t>
      </w:r>
      <w:r>
        <w:rPr>
          <w:rFonts w:hint="eastAsia" w:ascii="楷体_GB2312" w:hAnsi="仿宋" w:eastAsia="楷体_GB2312"/>
          <w:b w:val="0"/>
          <w:i w:val="0"/>
          <w:caps w:val="0"/>
          <w:spacing w:val="0"/>
          <w:w w:val="100"/>
          <w:kern w:val="0"/>
          <w:sz w:val="32"/>
          <w:szCs w:val="32"/>
          <w:highlight w:val="none"/>
        </w:rPr>
        <w:t>日在朔州市朔城区第</w:t>
      </w:r>
      <w:r>
        <w:rPr>
          <w:rFonts w:hint="eastAsia" w:ascii="楷体_GB2312" w:hAnsi="仿宋" w:eastAsia="楷体_GB2312"/>
          <w:b w:val="0"/>
          <w:i w:val="0"/>
          <w:caps w:val="0"/>
          <w:spacing w:val="0"/>
          <w:w w:val="100"/>
          <w:kern w:val="0"/>
          <w:sz w:val="32"/>
          <w:szCs w:val="32"/>
          <w:highlight w:val="none"/>
          <w:lang w:val="en-US" w:eastAsia="zh-CN"/>
        </w:rPr>
        <w:t>九</w:t>
      </w:r>
      <w:r>
        <w:rPr>
          <w:rFonts w:hint="eastAsia" w:ascii="楷体_GB2312" w:hAnsi="仿宋" w:eastAsia="楷体_GB2312"/>
          <w:b w:val="0"/>
          <w:i w:val="0"/>
          <w:caps w:val="0"/>
          <w:spacing w:val="0"/>
          <w:w w:val="100"/>
          <w:kern w:val="0"/>
          <w:sz w:val="32"/>
          <w:szCs w:val="32"/>
          <w:highlight w:val="none"/>
        </w:rPr>
        <w:t>届</w:t>
      </w:r>
    </w:p>
    <w:p w14:paraId="7EC1456F">
      <w:pPr>
        <w:snapToGrid/>
        <w:spacing w:before="0" w:beforeAutospacing="0" w:after="0" w:afterAutospacing="0" w:line="620" w:lineRule="exact"/>
        <w:jc w:val="center"/>
        <w:textAlignment w:val="baseline"/>
        <w:rPr>
          <w:rFonts w:ascii="楷体_GB2312" w:hAnsi="仿宋" w:eastAsia="楷体_GB2312"/>
          <w:b w:val="0"/>
          <w:i w:val="0"/>
          <w:caps w:val="0"/>
          <w:spacing w:val="0"/>
          <w:w w:val="100"/>
          <w:kern w:val="0"/>
          <w:sz w:val="32"/>
          <w:szCs w:val="32"/>
          <w:highlight w:val="none"/>
        </w:rPr>
      </w:pPr>
      <w:r>
        <w:rPr>
          <w:rFonts w:hint="eastAsia" w:ascii="楷体_GB2312" w:hAnsi="仿宋" w:eastAsia="楷体_GB2312"/>
          <w:b w:val="0"/>
          <w:i w:val="0"/>
          <w:caps w:val="0"/>
          <w:spacing w:val="0"/>
          <w:w w:val="100"/>
          <w:kern w:val="0"/>
          <w:sz w:val="32"/>
          <w:szCs w:val="32"/>
          <w:highlight w:val="none"/>
        </w:rPr>
        <w:t>人民代表大会第</w:t>
      </w:r>
      <w:r>
        <w:rPr>
          <w:rFonts w:hint="eastAsia" w:ascii="楷体_GB2312" w:hAnsi="仿宋" w:eastAsia="楷体_GB2312"/>
          <w:b w:val="0"/>
          <w:i w:val="0"/>
          <w:caps w:val="0"/>
          <w:spacing w:val="0"/>
          <w:w w:val="100"/>
          <w:kern w:val="0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楷体_GB2312" w:hAnsi="仿宋" w:eastAsia="楷体_GB2312"/>
          <w:b w:val="0"/>
          <w:i w:val="0"/>
          <w:caps w:val="0"/>
          <w:spacing w:val="0"/>
          <w:w w:val="100"/>
          <w:kern w:val="0"/>
          <w:sz w:val="32"/>
          <w:szCs w:val="32"/>
          <w:highlight w:val="none"/>
        </w:rPr>
        <w:t>次会议上）</w:t>
      </w:r>
    </w:p>
    <w:p w14:paraId="37F73B74">
      <w:pPr>
        <w:snapToGrid/>
        <w:spacing w:before="0" w:beforeAutospacing="0" w:after="0" w:afterAutospacing="0" w:line="520" w:lineRule="exact"/>
        <w:jc w:val="both"/>
        <w:textAlignment w:val="baseline"/>
        <w:rPr>
          <w:rFonts w:ascii="仿宋" w:hAnsi="仿宋" w:cs="Times New Roman"/>
          <w:b w:val="0"/>
          <w:i w:val="0"/>
          <w:caps w:val="0"/>
          <w:spacing w:val="0"/>
          <w:w w:val="100"/>
          <w:kern w:val="0"/>
          <w:sz w:val="32"/>
          <w:szCs w:val="32"/>
          <w:highlight w:val="none"/>
        </w:rPr>
      </w:pPr>
      <w:r>
        <w:rPr>
          <w:rFonts w:ascii="仿宋" w:hAnsi="仿宋" w:cs="Times New Roman"/>
          <w:b w:val="0"/>
          <w:i w:val="0"/>
          <w:caps w:val="0"/>
          <w:spacing w:val="0"/>
          <w:w w:val="100"/>
          <w:kern w:val="0"/>
          <w:sz w:val="32"/>
          <w:szCs w:val="32"/>
          <w:highlight w:val="none"/>
        </w:rPr>
        <w:t xml:space="preserve"> </w:t>
      </w:r>
    </w:p>
    <w:p w14:paraId="65AFE667">
      <w:pPr>
        <w:snapToGrid/>
        <w:spacing w:before="0" w:beforeAutospacing="0" w:after="0" w:afterAutospacing="0" w:line="300" w:lineRule="exact"/>
        <w:jc w:val="center"/>
        <w:textAlignment w:val="baseline"/>
        <w:rPr>
          <w:rFonts w:ascii="楷体_GB2312" w:hAnsi="仿宋" w:eastAsia="楷体_GB2312" w:cs="Times New Roman"/>
          <w:b w:val="0"/>
          <w:i w:val="0"/>
          <w:caps w:val="0"/>
          <w:spacing w:val="0"/>
          <w:w w:val="100"/>
          <w:kern w:val="0"/>
          <w:sz w:val="32"/>
          <w:szCs w:val="32"/>
          <w:highlight w:val="none"/>
        </w:rPr>
      </w:pPr>
      <w:r>
        <w:rPr>
          <w:rFonts w:hint="eastAsia" w:ascii="楷体_GB2312" w:hAnsi="仿宋" w:eastAsia="楷体_GB2312" w:cs="仿宋_GB2312"/>
          <w:b w:val="0"/>
          <w:i w:val="0"/>
          <w:caps w:val="0"/>
          <w:spacing w:val="0"/>
          <w:w w:val="100"/>
          <w:kern w:val="0"/>
          <w:sz w:val="32"/>
          <w:szCs w:val="32"/>
          <w:highlight w:val="none"/>
        </w:rPr>
        <w:t>朔城区财政局局长   周庆山</w:t>
      </w:r>
    </w:p>
    <w:p w14:paraId="561E9BC4">
      <w:pPr>
        <w:snapToGrid/>
        <w:spacing w:before="0" w:beforeAutospacing="0" w:after="0" w:afterAutospacing="0" w:line="500" w:lineRule="exact"/>
        <w:jc w:val="both"/>
        <w:textAlignment w:val="baseline"/>
        <w:rPr>
          <w:rFonts w:ascii="仿宋" w:hAnsi="仿宋" w:cs="仿宋_GB2312"/>
          <w:b w:val="0"/>
          <w:i w:val="0"/>
          <w:caps w:val="0"/>
          <w:spacing w:val="0"/>
          <w:w w:val="100"/>
          <w:kern w:val="0"/>
          <w:sz w:val="32"/>
          <w:szCs w:val="32"/>
          <w:highlight w:val="none"/>
        </w:rPr>
      </w:pPr>
    </w:p>
    <w:p w14:paraId="58E47239">
      <w:pPr>
        <w:snapToGrid/>
        <w:spacing w:before="0" w:beforeAutospacing="0" w:after="0" w:afterAutospacing="0" w:line="660" w:lineRule="exact"/>
        <w:jc w:val="both"/>
        <w:textAlignment w:val="baseline"/>
        <w:rPr>
          <w:rFonts w:ascii="仿宋_GB2312" w:hAnsi="仿宋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  <w:highlight w:val="none"/>
        </w:rPr>
        <w:t>各位代表:</w:t>
      </w:r>
    </w:p>
    <w:p w14:paraId="7CE13C08">
      <w:pPr>
        <w:snapToGrid/>
        <w:spacing w:before="0" w:beforeAutospacing="0" w:after="0" w:afterAutospacing="0" w:line="660" w:lineRule="exact"/>
        <w:ind w:firstLine="640" w:firstLineChars="200"/>
        <w:jc w:val="both"/>
        <w:textAlignment w:val="baseline"/>
        <w:rPr>
          <w:rFonts w:ascii="仿宋_GB2312" w:hAnsi="仿宋" w:eastAsia="仿宋_GB2312" w:cs="Times New Roman"/>
          <w:b w:val="0"/>
          <w:i w:val="0"/>
          <w:caps w:val="0"/>
          <w:spacing w:val="0"/>
          <w:w w:val="100"/>
          <w:kern w:val="0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  <w:highlight w:val="none"/>
        </w:rPr>
        <w:t>受区人民政府委托，我向大会报告朔城区20</w:t>
      </w:r>
      <w:r>
        <w:rPr>
          <w:rFonts w:hint="eastAsia" w:ascii="仿宋_GB2312" w:hAnsi="仿宋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仿宋_GB2312" w:hAnsi="仿宋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  <w:highlight w:val="none"/>
        </w:rPr>
        <w:t>年财政预算执行情况和202</w:t>
      </w:r>
      <w:r>
        <w:rPr>
          <w:rFonts w:hint="eastAsia" w:ascii="仿宋_GB2312" w:hAnsi="仿宋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  <w:highlight w:val="none"/>
        </w:rPr>
        <w:t>年财政预算（草案），请予审议。并请各位政协委员和列席人员提出宝贵意见。</w:t>
      </w:r>
    </w:p>
    <w:p w14:paraId="4F86EF71">
      <w:pPr>
        <w:snapToGrid/>
        <w:spacing w:before="0" w:beforeAutospacing="0" w:after="0" w:afterAutospacing="0" w:line="660" w:lineRule="exact"/>
        <w:ind w:firstLine="640" w:firstLineChars="200"/>
        <w:jc w:val="both"/>
        <w:textAlignment w:val="baseline"/>
        <w:rPr>
          <w:rFonts w:ascii="黑体" w:hAnsi="仿宋" w:eastAsia="黑体" w:cs="Calibri"/>
          <w:b w:val="0"/>
          <w:i w:val="0"/>
          <w:caps w:val="0"/>
          <w:spacing w:val="0"/>
          <w:w w:val="100"/>
          <w:sz w:val="32"/>
          <w:szCs w:val="32"/>
          <w:highlight w:val="none"/>
        </w:rPr>
      </w:pPr>
      <w:r>
        <w:rPr>
          <w:rFonts w:hint="eastAsia" w:ascii="黑体" w:hAnsi="仿宋" w:eastAsia="黑体" w:cs="Calibri"/>
          <w:b w:val="0"/>
          <w:i w:val="0"/>
          <w:caps w:val="0"/>
          <w:spacing w:val="0"/>
          <w:w w:val="100"/>
          <w:sz w:val="32"/>
          <w:szCs w:val="32"/>
          <w:highlight w:val="none"/>
        </w:rPr>
        <w:t>一、20</w:t>
      </w:r>
      <w:r>
        <w:rPr>
          <w:rFonts w:hint="eastAsia" w:ascii="黑体" w:hAnsi="仿宋" w:eastAsia="黑体" w:cs="Calibri"/>
          <w:b w:val="0"/>
          <w:i w:val="0"/>
          <w:caps w:val="0"/>
          <w:spacing w:val="0"/>
          <w:w w:val="100"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黑体" w:hAnsi="仿宋" w:eastAsia="黑体" w:cs="Calibri"/>
          <w:b w:val="0"/>
          <w:i w:val="0"/>
          <w:caps w:val="0"/>
          <w:spacing w:val="0"/>
          <w:w w:val="100"/>
          <w:sz w:val="32"/>
          <w:szCs w:val="32"/>
          <w:highlight w:val="none"/>
        </w:rPr>
        <w:t>年全区财政预算执行情况</w:t>
      </w:r>
    </w:p>
    <w:p w14:paraId="42250083">
      <w:pPr>
        <w:keepLines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 w:color="auto" w:fill="auto"/>
        <w:snapToGrid/>
        <w:spacing w:before="0" w:beforeAutospacing="0" w:after="0" w:afterAutospacing="0" w:line="600" w:lineRule="exact"/>
        <w:ind w:firstLine="640" w:firstLineChars="200"/>
        <w:jc w:val="both"/>
        <w:textAlignment w:val="baseline"/>
        <w:rPr>
          <w:rFonts w:hint="eastAsia" w:ascii="楷体_GB2312" w:hAnsi="仿宋" w:eastAsia="楷体_GB2312" w:cs="仿宋"/>
          <w:b w:val="0"/>
          <w:bCs/>
          <w:i w:val="0"/>
          <w:caps w:val="0"/>
          <w:color w:val="0000FF"/>
          <w:spacing w:val="0"/>
          <w:w w:val="100"/>
          <w:sz w:val="32"/>
          <w:szCs w:val="32"/>
          <w:highlight w:val="none"/>
        </w:rPr>
      </w:pPr>
      <w:r>
        <w:rPr>
          <w:rFonts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highlight w:val="none"/>
        </w:rPr>
        <w:t>2020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highlight w:val="none"/>
        </w:rPr>
        <w:t>年，面对突如其来的新冠肺炎疫情，全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highlight w:val="none"/>
          <w:lang w:val="en-US" w:eastAsia="zh-CN"/>
        </w:rPr>
        <w:t>区上下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highlight w:val="none"/>
        </w:rPr>
        <w:t>坚决贯彻习近平总书记重要讲话重要指示精神，在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highlight w:val="none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highlight w:val="none"/>
        </w:rPr>
        <w:t>委的坚强领导下，牢牢把握疫情防控主动权，克服重重困难，实现了经济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highlight w:val="none"/>
          <w:lang w:val="en-US" w:eastAsia="zh-CN"/>
        </w:rPr>
        <w:t>平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highlight w:val="none"/>
        </w:rPr>
        <w:t>稳向好、社会和谐稳定。</w:t>
      </w:r>
      <w:r>
        <w:rPr>
          <w:rFonts w:hint="eastAsia" w:ascii="仿宋_GB2312" w:hAnsi="仿宋" w:eastAsia="仿宋_GB2312" w:cs="Calibri"/>
          <w:b w:val="0"/>
          <w:i w:val="0"/>
          <w:caps w:val="0"/>
          <w:spacing w:val="0"/>
          <w:w w:val="100"/>
          <w:sz w:val="32"/>
          <w:szCs w:val="32"/>
          <w:highlight w:val="none"/>
        </w:rPr>
        <w:t>紧紧围绕区委、区政府的总体工作思路和要求，</w:t>
      </w:r>
      <w:r>
        <w:rPr>
          <w:rFonts w:hint="eastAsia" w:ascii="仿宋_GB2312" w:hAnsi="仿宋" w:eastAsia="仿宋_GB2312" w:cs="Calibri"/>
          <w:b w:val="0"/>
          <w:i w:val="0"/>
          <w:caps w:val="0"/>
          <w:spacing w:val="0"/>
          <w:w w:val="100"/>
          <w:sz w:val="32"/>
          <w:szCs w:val="32"/>
          <w:highlight w:val="none"/>
          <w:lang w:val="en-US" w:eastAsia="zh-CN"/>
        </w:rPr>
        <w:t>财政部门全体干部职工</w:t>
      </w:r>
      <w:r>
        <w:rPr>
          <w:rFonts w:hint="eastAsia" w:ascii="仿宋_GB2312" w:hAnsi="仿宋" w:eastAsia="仿宋_GB2312" w:cs="Calibri"/>
          <w:b w:val="0"/>
          <w:i w:val="0"/>
          <w:caps w:val="0"/>
          <w:spacing w:val="0"/>
          <w:w w:val="100"/>
          <w:sz w:val="32"/>
          <w:szCs w:val="32"/>
          <w:highlight w:val="none"/>
        </w:rPr>
        <w:t>把握财政工作的重心和工作重点，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highlight w:val="none"/>
        </w:rPr>
        <w:t>统筹疫情防控和经济社会发展，充分发挥财政职能作用，有力支撑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highlight w:val="none"/>
          <w:lang w:val="en-US" w:eastAsia="zh-CN"/>
        </w:rPr>
        <w:t>了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highlight w:val="none"/>
        </w:rPr>
        <w:t>全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highlight w:val="none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highlight w:val="none"/>
        </w:rPr>
        <w:t>社会稳定和经济发展大局。</w:t>
      </w:r>
    </w:p>
    <w:p w14:paraId="0A025628">
      <w:pPr>
        <w:snapToGrid/>
        <w:spacing w:before="0" w:beforeAutospacing="0" w:after="0" w:afterAutospacing="0" w:line="660" w:lineRule="exact"/>
        <w:ind w:firstLine="640" w:firstLineChars="200"/>
        <w:jc w:val="both"/>
        <w:textAlignment w:val="baseline"/>
        <w:rPr>
          <w:rFonts w:ascii="仿宋_GB2312" w:hAnsi="仿宋" w:eastAsia="仿宋_GB2312" w:cs="Calibri"/>
          <w:b w:val="0"/>
          <w:i w:val="0"/>
          <w:caps w:val="0"/>
          <w:spacing w:val="0"/>
          <w:w w:val="100"/>
          <w:sz w:val="32"/>
          <w:szCs w:val="32"/>
          <w:highlight w:val="none"/>
        </w:rPr>
      </w:pPr>
    </w:p>
    <w:p w14:paraId="5B3948C2">
      <w:pPr>
        <w:snapToGrid/>
        <w:spacing w:before="0" w:beforeAutospacing="0" w:after="0" w:afterAutospacing="0" w:line="660" w:lineRule="exact"/>
        <w:ind w:firstLine="643" w:firstLineChars="200"/>
        <w:jc w:val="both"/>
        <w:textAlignment w:val="baseline"/>
        <w:rPr>
          <w:rFonts w:ascii="楷体_GB2312" w:hAnsi="楷体_GB2312" w:eastAsia="楷体_GB2312" w:cs="楷体_GB2312"/>
          <w:b/>
          <w:bCs/>
          <w:i w:val="0"/>
          <w:caps w:val="0"/>
          <w:color w:val="000000"/>
          <w:spacing w:val="0"/>
          <w:w w:val="10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（一）一般公共预算执行情况</w:t>
      </w:r>
    </w:p>
    <w:p w14:paraId="335F73E1">
      <w:pPr>
        <w:snapToGrid/>
        <w:spacing w:before="0" w:beforeAutospacing="0" w:after="0" w:afterAutospacing="0" w:line="660" w:lineRule="exact"/>
        <w:ind w:firstLine="643" w:firstLineChars="200"/>
        <w:jc w:val="both"/>
        <w:textAlignment w:val="baseline"/>
        <w:rPr>
          <w:rFonts w:ascii="仿宋_GB2312" w:hAnsi="仿宋" w:eastAsia="仿宋_GB2312" w:cs="Calibri"/>
          <w:b/>
          <w:bCs/>
          <w:i w:val="0"/>
          <w:caps w:val="0"/>
          <w:color w:val="000000"/>
          <w:spacing w:val="0"/>
          <w:w w:val="100"/>
          <w:sz w:val="32"/>
          <w:szCs w:val="32"/>
          <w:highlight w:val="none"/>
        </w:rPr>
      </w:pPr>
      <w:r>
        <w:rPr>
          <w:rFonts w:hint="eastAsia" w:ascii="仿宋_GB2312" w:hAnsi="仿宋" w:eastAsia="仿宋_GB2312" w:cs="Calibri"/>
          <w:b/>
          <w:bCs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1、收入情况</w:t>
      </w:r>
    </w:p>
    <w:p w14:paraId="23C8AA9D">
      <w:pPr>
        <w:snapToGrid/>
        <w:spacing w:before="156" w:beforeAutospacing="0" w:after="156" w:afterAutospacing="0" w:line="240" w:lineRule="auto"/>
        <w:ind w:firstLine="640" w:firstLineChars="200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 w:cs="仿宋_GB2312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highlight w:val="none"/>
          <w:lang w:val="en-US" w:eastAsia="zh-CN"/>
        </w:rPr>
        <w:t>2020</w:t>
      </w:r>
      <w:r>
        <w:rPr>
          <w:rFonts w:hint="eastAsia" w:ascii="仿宋_GB2312" w:hAnsi="仿宋" w:eastAsia="仿宋_GB2312" w:cs="仿宋_GB2312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highlight w:val="none"/>
          <w:lang w:val="en-US" w:eastAsia="zh-CN"/>
        </w:rPr>
        <w:t>区本级一般公共预算收入完成73791万元，为年初预算的88.53%，同比下降7.93%。其中:税收收入完成48252万元，为年初预算63356万元的76.16%，同比下降20.05%，短收12101万元。非税收入完成25539万元，为年初预算20000万元的127.70%，同比增长29%，增收5742万元。</w:t>
      </w:r>
    </w:p>
    <w:p w14:paraId="33CF95E3">
      <w:pPr>
        <w:snapToGrid/>
        <w:spacing w:before="156" w:beforeAutospacing="0" w:after="156" w:afterAutospacing="0" w:line="240" w:lineRule="auto"/>
        <w:ind w:firstLine="640" w:firstLineChars="200"/>
        <w:jc w:val="both"/>
        <w:textAlignment w:val="baseline"/>
        <w:rPr>
          <w:rFonts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</w:pPr>
      <w:r>
        <w:rPr>
          <w:rFonts w:hint="eastAsia" w:ascii="仿宋" w:hAnsi="仿宋" w:eastAsia="仿宋" w:cs="仿宋_GB2312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仿宋_GB2312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" w:hAnsi="仿宋" w:eastAsia="仿宋" w:cs="仿宋_GB2312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税收收入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48252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万元，其中：增值税完成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17185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万元，为年初预算的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76.72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%，同比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下降9.16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%；企业所得税完成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1819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万元，为年初预算的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47.87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%，同比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下降48.96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%；个人所得税完成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789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万元，为年初预算的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112.71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%，同比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增长39.65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%；资源税完成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3234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万元，为年初预算的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115.50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%，同比增长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65.68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%；城市维护建设税完成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4337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万元，为年初预算的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86.74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%，同比下降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10.96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%；房产税完成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2160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万元，为年初预算的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90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%，同比下降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25.98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%；印花税完成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1317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万元，为年初预算的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101.31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%，同比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增长11.05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%；城镇土地使用税完成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5155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万元，为年初预算的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51.55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%，同比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下降57.33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%；土地增值税完成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4092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万元，为年初预算的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78.69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%，同比下降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18.78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%；车船税完成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3542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万元，为年初预算的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95.73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%，同比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增长6.40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%；耕地占用税完成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965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万元，为年初预算的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80.42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%，同比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下降36.97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%；契税完成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3430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万元，为年初预算的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77.95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%，同比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下降16.89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%；环境保护税完成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227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万元，为年初预算的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49.78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%，同比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下降16.54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%。</w:t>
      </w:r>
    </w:p>
    <w:p w14:paraId="18C5F7FB">
      <w:pPr>
        <w:snapToGrid/>
        <w:spacing w:before="156" w:beforeAutospacing="0" w:after="156" w:afterAutospacing="0" w:line="240" w:lineRule="auto"/>
        <w:ind w:firstLine="480" w:firstLineChars="150"/>
        <w:jc w:val="both"/>
        <w:textAlignment w:val="baseline"/>
        <w:rPr>
          <w:rFonts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</w:pPr>
      <w:r>
        <w:rPr>
          <w:rFonts w:hint="eastAsia" w:ascii="仿宋" w:hAnsi="仿宋" w:eastAsia="仿宋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" w:hAnsi="仿宋" w:eastAsia="仿宋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非税收入完成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25539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万元，其中：专项收入完成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3048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万元，为年初预算的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93.93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%，同比下降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6.04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%；行政性收费收入完成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6042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万元，为年初预算的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201.40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%，同比增长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85.85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 xml:space="preserve"> %；罚没收入完成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1539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万元，为年初预算的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48.09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%，同比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下降50.56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%；国有资产有偿使用收入完成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14784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万元，为年初预算的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141.95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%，同比增长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47.06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%；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政府住房基金收入113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万元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其他收入13万元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。</w:t>
      </w:r>
    </w:p>
    <w:p w14:paraId="5F1B59F2">
      <w:pPr>
        <w:numPr>
          <w:ilvl w:val="0"/>
          <w:numId w:val="1"/>
        </w:numPr>
        <w:snapToGrid/>
        <w:spacing w:before="0" w:beforeAutospacing="0" w:after="0" w:afterAutospacing="0" w:line="660" w:lineRule="exact"/>
        <w:ind w:firstLine="640" w:firstLineChars="200"/>
        <w:jc w:val="both"/>
        <w:textAlignment w:val="baseline"/>
        <w:rPr>
          <w:rFonts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</w:pP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支出情况</w:t>
      </w:r>
    </w:p>
    <w:p w14:paraId="07914F10">
      <w:pPr>
        <w:snapToGrid/>
        <w:spacing w:before="0" w:beforeAutospacing="0" w:after="0" w:afterAutospacing="0" w:line="660" w:lineRule="exact"/>
        <w:jc w:val="both"/>
        <w:textAlignment w:val="baseline"/>
        <w:rPr>
          <w:rFonts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</w:pP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 xml:space="preserve">    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2020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年全区一般公共预算支出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295740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万元，为调整预算的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92.43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%，同比增长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14.96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%。其中：</w:t>
      </w:r>
    </w:p>
    <w:p w14:paraId="280C2504">
      <w:pPr>
        <w:snapToGrid/>
        <w:spacing w:before="0" w:beforeAutospacing="0" w:after="0" w:afterAutospacing="0" w:line="660" w:lineRule="exact"/>
        <w:ind w:firstLine="640" w:firstLineChars="200"/>
        <w:jc w:val="both"/>
        <w:textAlignment w:val="baseline"/>
        <w:rPr>
          <w:rFonts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highlight w:val="none"/>
        </w:rPr>
      </w:pP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一般公共服务支出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30024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万元，为调整预算的99.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90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%，同比增长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11.19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%；国防支出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260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万元，为调整预算的100%，同比增长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28.71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%；公共安全支出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2242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万元，为调整预算的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99.91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%，同比下降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8.56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%；教育支出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63197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万元，为调整预算的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89.19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%，同比增长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19.52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%；科学技术支出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275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万元，为调整预算的100%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eastAsia="zh-CN"/>
        </w:rPr>
        <w:t>，同比增长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62.72%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;文化体育与传媒支出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4212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万元，为调整预算的100%，同比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eastAsia="zh-CN"/>
        </w:rPr>
        <w:t>下降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28.85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%；社会保障和就业支出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42788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万元，为调整预算的99.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95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%，同比增长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6.54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%；卫生健康支出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25940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万元，为调整预算的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95.51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%，同比增长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25.72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%；节能环保支出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25297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万元，为调整预算的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100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%，同比增长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46.20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%；城乡社区事务支出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16019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万元，为调整预算的100%，同比下降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31.64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%；农林水支出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51174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万元，为调整预算的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98.76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%，同比增长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8.88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%；交通运输支出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2920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万元，为调整预算的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80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%，同比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eastAsia="zh-CN"/>
        </w:rPr>
        <w:t>下降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54.61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%；资源勘探信息等支出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629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万元，为调整预算的100%，同比下降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35.88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%；商业服务业等支出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369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万元，为调整预算的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100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%，同比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eastAsia="zh-CN"/>
        </w:rPr>
        <w:t>增长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8.53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%；自然资源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eastAsia="zh-CN"/>
        </w:rPr>
        <w:t>海洋气象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等支出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2974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万元，为调整预算的100%，同比增长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76.60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%；住房保障支出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22129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万元，为调整预算的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92.38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%，同比增长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251.53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%；粮油物资储备支出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533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万元，为调整预算的100%，同比下降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61.24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%；灾害防治及应急管理支出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3178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万元，为调整预算的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90.31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%；其他支出2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44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万元，为调整预算的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2.04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%，同比增长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14.02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%；债务付息支出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1322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万元，为调整预算的100%，同比增长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12.99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%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eastAsia="zh-CN"/>
        </w:rPr>
        <w:t>，债务发行费用支出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14万元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。</w:t>
      </w:r>
    </w:p>
    <w:p w14:paraId="76CC9DDB">
      <w:pPr>
        <w:numPr>
          <w:ilvl w:val="0"/>
          <w:numId w:val="1"/>
        </w:numPr>
        <w:snapToGrid/>
        <w:spacing w:before="156" w:beforeAutospacing="0" w:after="156" w:afterAutospacing="0" w:line="240" w:lineRule="auto"/>
        <w:ind w:left="0" w:leftChars="0" w:firstLine="640" w:firstLineChars="200"/>
        <w:jc w:val="both"/>
        <w:textAlignment w:val="baseline"/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eastAsia="zh-CN"/>
        </w:rPr>
      </w:pP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eastAsia="zh-CN"/>
        </w:rPr>
        <w:t>平衡情况</w:t>
      </w:r>
    </w:p>
    <w:p w14:paraId="26AB0F86">
      <w:pPr>
        <w:snapToGrid/>
        <w:spacing w:before="156" w:beforeAutospacing="0" w:after="156" w:afterAutospacing="0" w:line="240" w:lineRule="auto"/>
        <w:ind w:firstLine="640" w:firstLineChars="200"/>
        <w:jc w:val="both"/>
        <w:textAlignment w:val="baseline"/>
        <w:rPr>
          <w:rFonts w:hint="eastAsia" w:ascii="仿宋_GB2312" w:hAnsi="仿宋" w:eastAsia="仿宋_GB2312" w:cs="仿宋_GB2312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highlight w:val="none"/>
        </w:rPr>
      </w:pP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2020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年全区一般公共预算收入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73791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万元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eastAsia="zh-CN"/>
        </w:rPr>
        <w:t>，上级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转移支付收入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225308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万元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其中：返还性收入14504万元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均衡性转移支付收入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65781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万元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;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县级基本财力保障机制奖补资金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37606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万元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;共同财政事权等补助收入63301万元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专项转移支付收入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44116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万元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eastAsia="zh-CN"/>
        </w:rPr>
        <w:t>），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上年结转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23857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万元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,</w:t>
      </w:r>
      <w:r>
        <w:rPr>
          <w:rFonts w:hint="eastAsia" w:ascii="仿宋_GB2312" w:hAnsi="仿宋" w:eastAsia="仿宋_GB2312" w:cs="仿宋_GB2312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highlight w:val="none"/>
        </w:rPr>
        <w:t>地方政府债券转贷收入</w:t>
      </w:r>
      <w:r>
        <w:rPr>
          <w:rFonts w:hint="eastAsia" w:ascii="仿宋_GB2312" w:hAnsi="仿宋" w:eastAsia="仿宋_GB2312" w:cs="仿宋_GB2312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highlight w:val="none"/>
          <w:lang w:val="en-US" w:eastAsia="zh-CN"/>
        </w:rPr>
        <w:t>13560</w:t>
      </w:r>
      <w:r>
        <w:rPr>
          <w:rFonts w:hint="eastAsia" w:ascii="仿宋_GB2312" w:hAnsi="仿宋" w:eastAsia="仿宋_GB2312" w:cs="仿宋_GB2312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highlight w:val="none"/>
        </w:rPr>
        <w:t>万元</w:t>
      </w:r>
      <w:r>
        <w:rPr>
          <w:rFonts w:hint="eastAsia" w:ascii="仿宋_GB2312" w:hAnsi="仿宋" w:eastAsia="仿宋_GB2312" w:cs="仿宋_GB2312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highlight w:val="none"/>
          <w:lang w:eastAsia="zh-CN"/>
        </w:rPr>
        <w:t>，动用</w:t>
      </w:r>
      <w:r>
        <w:rPr>
          <w:rFonts w:hint="eastAsia" w:ascii="仿宋_GB2312" w:hAnsi="仿宋" w:eastAsia="仿宋_GB2312" w:cs="仿宋_GB2312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highlight w:val="none"/>
        </w:rPr>
        <w:t>预算稳定调节基金</w:t>
      </w:r>
      <w:r>
        <w:rPr>
          <w:rFonts w:hint="eastAsia" w:ascii="仿宋_GB2312" w:hAnsi="仿宋" w:eastAsia="仿宋_GB2312" w:cs="仿宋_GB2312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highlight w:val="none"/>
          <w:lang w:val="en-US" w:eastAsia="zh-CN"/>
        </w:rPr>
        <w:t>6759</w:t>
      </w:r>
      <w:r>
        <w:rPr>
          <w:rFonts w:hint="eastAsia" w:ascii="仿宋_GB2312" w:hAnsi="仿宋" w:eastAsia="仿宋_GB2312" w:cs="仿宋_GB2312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highlight w:val="none"/>
        </w:rPr>
        <w:t>万元</w:t>
      </w:r>
      <w:r>
        <w:rPr>
          <w:rFonts w:hint="eastAsia" w:ascii="仿宋_GB2312" w:hAnsi="仿宋" w:eastAsia="仿宋_GB2312" w:cs="仿宋_GB2312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highlight w:val="none"/>
          <w:lang w:eastAsia="zh-CN"/>
        </w:rPr>
        <w:t>，调入</w:t>
      </w:r>
      <w:r>
        <w:rPr>
          <w:rFonts w:hint="eastAsia" w:ascii="仿宋_GB2312" w:hAnsi="仿宋" w:eastAsia="仿宋_GB2312" w:cs="仿宋_GB2312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highlight w:val="none"/>
          <w:lang w:val="en-US" w:eastAsia="zh-CN"/>
        </w:rPr>
        <w:t>存量</w:t>
      </w:r>
      <w:r>
        <w:rPr>
          <w:rFonts w:hint="eastAsia" w:ascii="仿宋_GB2312" w:hAnsi="仿宋" w:eastAsia="仿宋_GB2312" w:cs="仿宋_GB2312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highlight w:val="none"/>
          <w:lang w:eastAsia="zh-CN"/>
        </w:rPr>
        <w:t>资金</w:t>
      </w:r>
      <w:r>
        <w:rPr>
          <w:rFonts w:hint="eastAsia" w:ascii="仿宋_GB2312" w:hAnsi="仿宋" w:eastAsia="仿宋_GB2312" w:cs="仿宋_GB2312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highlight w:val="none"/>
          <w:lang w:val="en-US" w:eastAsia="zh-CN"/>
        </w:rPr>
        <w:t>5047万元，调入政府性基金12190万元，</w:t>
      </w:r>
      <w:r>
        <w:rPr>
          <w:rFonts w:hint="eastAsia" w:ascii="仿宋_GB2312" w:hAnsi="仿宋" w:eastAsia="仿宋_GB2312" w:cs="仿宋_GB2312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highlight w:val="none"/>
        </w:rPr>
        <w:t>收入总计</w:t>
      </w:r>
      <w:r>
        <w:rPr>
          <w:rFonts w:hint="eastAsia" w:ascii="仿宋_GB2312" w:hAnsi="仿宋" w:eastAsia="仿宋_GB2312" w:cs="仿宋_GB2312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highlight w:val="none"/>
          <w:lang w:val="en-US" w:eastAsia="zh-CN"/>
        </w:rPr>
        <w:t>360512</w:t>
      </w:r>
      <w:r>
        <w:rPr>
          <w:rFonts w:hint="eastAsia" w:ascii="仿宋_GB2312" w:hAnsi="仿宋" w:eastAsia="仿宋_GB2312" w:cs="仿宋_GB2312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highlight w:val="none"/>
        </w:rPr>
        <w:t>万元。</w:t>
      </w:r>
    </w:p>
    <w:p w14:paraId="2596E577">
      <w:pPr>
        <w:snapToGrid/>
        <w:spacing w:before="156" w:beforeAutospacing="0" w:after="156" w:afterAutospacing="0" w:line="240" w:lineRule="auto"/>
        <w:ind w:firstLine="640" w:firstLineChars="200"/>
        <w:jc w:val="both"/>
        <w:textAlignment w:val="baseline"/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2020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年全区一般公共预算支出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295740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万元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上解支出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8453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万元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债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eastAsia="zh-CN"/>
        </w:rPr>
        <w:t>务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还本支出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1700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万元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补充预算稳定调节基金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30406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万元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支出总计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336299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万元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eastAsia="zh-CN"/>
        </w:rPr>
        <w:t>。</w:t>
      </w:r>
    </w:p>
    <w:p w14:paraId="27A0645A">
      <w:pPr>
        <w:snapToGrid/>
        <w:spacing w:before="156" w:beforeAutospacing="0" w:after="156" w:afterAutospacing="0" w:line="240" w:lineRule="auto"/>
        <w:ind w:firstLine="640" w:firstLineChars="200"/>
        <w:jc w:val="both"/>
        <w:textAlignment w:val="baseline"/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</w:pP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收支相抵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eastAsia="zh-CN"/>
        </w:rPr>
        <w:t>结余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24213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万元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其中：县级基本财力保障机制奖补资金10742万元，其他结算补助资金1000万元，专项款12471万元。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。</w:t>
      </w:r>
    </w:p>
    <w:p w14:paraId="1F3E1DBB">
      <w:pPr>
        <w:snapToGrid/>
        <w:spacing w:before="0" w:beforeAutospacing="0" w:after="0" w:afterAutospacing="0" w:line="660" w:lineRule="exact"/>
        <w:ind w:firstLine="643" w:firstLineChars="200"/>
        <w:jc w:val="both"/>
        <w:textAlignment w:val="baseline"/>
        <w:rPr>
          <w:rFonts w:hint="default" w:ascii="楷体_GB2312" w:hAnsi="楷体_GB2312" w:eastAsia="楷体_GB2312" w:cs="楷体_GB2312"/>
          <w:b/>
          <w:bCs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（二）政府性基金预算执行情况</w:t>
      </w:r>
    </w:p>
    <w:p w14:paraId="25CBF781">
      <w:pPr>
        <w:snapToGrid w:val="0"/>
        <w:spacing w:before="0" w:beforeAutospacing="0" w:after="0" w:afterAutospacing="0" w:line="660" w:lineRule="exact"/>
        <w:ind w:firstLine="640" w:firstLineChars="200"/>
        <w:jc w:val="both"/>
        <w:textAlignment w:val="baseline"/>
        <w:rPr>
          <w:rFonts w:hint="default" w:eastAsia="仿宋_GB2312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1、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2020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年全区政府性基金收入完成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56671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万元。其中：区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本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级当年完成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42283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万元，为年初预算的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434.74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% ，同比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eastAsia="zh-CN"/>
        </w:rPr>
        <w:t>增长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1694.69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%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eastAsia="zh-CN"/>
        </w:rPr>
        <w:t>（增幅较大的原因是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国有土地使用权出让收入较多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；上级转移性支付收入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3381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万元；</w:t>
      </w:r>
      <w:r>
        <w:rPr>
          <w:rFonts w:hint="eastAsia" w:ascii="仿宋_GB2312" w:hAnsi="仿宋" w:eastAsia="仿宋_GB2312" w:cs="仿宋_GB2312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highlight w:val="none"/>
        </w:rPr>
        <w:t>地方政府债券转贷收入</w:t>
      </w:r>
      <w:r>
        <w:rPr>
          <w:rFonts w:hint="eastAsia" w:ascii="仿宋_GB2312" w:hAnsi="仿宋" w:eastAsia="仿宋_GB2312" w:cs="仿宋_GB2312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highlight w:val="none"/>
          <w:lang w:val="en-US" w:eastAsia="zh-CN"/>
        </w:rPr>
        <w:t>11000</w:t>
      </w:r>
      <w:r>
        <w:rPr>
          <w:rFonts w:hint="eastAsia" w:ascii="仿宋_GB2312" w:hAnsi="仿宋" w:eastAsia="仿宋_GB2312" w:cs="仿宋_GB2312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highlight w:val="none"/>
        </w:rPr>
        <w:t>万元</w:t>
      </w:r>
      <w:r>
        <w:rPr>
          <w:rFonts w:hint="eastAsia" w:ascii="仿宋_GB2312" w:hAnsi="仿宋" w:eastAsia="仿宋_GB2312" w:cs="仿宋_GB2312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上年结转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万元。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 xml:space="preserve">  </w:t>
      </w:r>
    </w:p>
    <w:p w14:paraId="72C3E0B2">
      <w:pPr>
        <w:snapToGrid w:val="0"/>
        <w:spacing w:before="0" w:beforeAutospacing="0" w:after="0" w:afterAutospacing="0" w:line="660" w:lineRule="exact"/>
        <w:ind w:firstLine="640" w:firstLineChars="200"/>
        <w:jc w:val="both"/>
        <w:textAlignment w:val="baseline"/>
        <w:rPr>
          <w:rFonts w:hint="default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2、2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020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年全区政府性基金支出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44712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万元。其中：当年支出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32522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万元，为调整预算的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73.11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%，同比增长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60.98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%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调入一般公共预算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eastAsia="zh-CN"/>
        </w:rPr>
        <w:t>资金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12190万元。</w:t>
      </w:r>
    </w:p>
    <w:p w14:paraId="682D19B8">
      <w:pPr>
        <w:snapToGrid w:val="0"/>
        <w:spacing w:before="0" w:beforeAutospacing="0" w:after="0" w:afterAutospacing="0" w:line="660" w:lineRule="exact"/>
        <w:ind w:firstLine="640" w:firstLineChars="200"/>
        <w:jc w:val="both"/>
        <w:textAlignment w:val="baseline"/>
        <w:rPr>
          <w:rFonts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</w:pP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3、年底收支相抵结余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11959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万元。</w:t>
      </w:r>
    </w:p>
    <w:p w14:paraId="57F502D1">
      <w:pPr>
        <w:snapToGrid w:val="0"/>
        <w:spacing w:before="0" w:beforeAutospacing="0" w:after="0" w:afterAutospacing="0" w:line="660" w:lineRule="exact"/>
        <w:ind w:firstLine="472" w:firstLineChars="147"/>
        <w:jc w:val="both"/>
        <w:textAlignment w:val="baseline"/>
        <w:rPr>
          <w:rFonts w:hint="default" w:ascii="楷体_GB2312" w:hAnsi="楷体_GB2312" w:eastAsia="楷体_GB2312" w:cs="楷体_GB2312"/>
          <w:b/>
          <w:bCs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（三）社会保险基金预算执行情况</w:t>
      </w:r>
    </w:p>
    <w:p w14:paraId="765D24FD">
      <w:pPr>
        <w:snapToGrid w:val="0"/>
        <w:spacing w:before="0" w:beforeAutospacing="0" w:after="0" w:afterAutospacing="0" w:line="660" w:lineRule="exact"/>
        <w:ind w:firstLine="470" w:firstLineChars="147"/>
        <w:jc w:val="both"/>
        <w:textAlignment w:val="baseline"/>
        <w:rPr>
          <w:rFonts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</w:pP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2020年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全区社会保险基金预算收入完成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31228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万元，上年结余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37084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万元。支出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31423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万元。年底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滚存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结余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36889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万元。</w:t>
      </w:r>
    </w:p>
    <w:p w14:paraId="53D1FB15">
      <w:pPr>
        <w:snapToGrid w:val="0"/>
        <w:spacing w:before="0" w:beforeAutospacing="0" w:after="0" w:afterAutospacing="0" w:line="660" w:lineRule="exact"/>
        <w:ind w:firstLine="472" w:firstLineChars="147"/>
        <w:jc w:val="both"/>
        <w:textAlignment w:val="baseline"/>
        <w:rPr>
          <w:rFonts w:hint="default" w:ascii="楷体_GB2312" w:hAnsi="楷体_GB2312" w:eastAsia="楷体_GB2312" w:cs="楷体_GB2312"/>
          <w:b/>
          <w:bCs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（四）国有资本经营预算执行情况</w:t>
      </w:r>
    </w:p>
    <w:p w14:paraId="45343D7D">
      <w:pPr>
        <w:snapToGrid w:val="0"/>
        <w:spacing w:before="0" w:beforeAutospacing="0" w:after="0" w:afterAutospacing="0" w:line="660" w:lineRule="exact"/>
        <w:ind w:firstLine="640" w:firstLineChars="200"/>
        <w:jc w:val="both"/>
        <w:textAlignment w:val="baseline"/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</w:pP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2020年国有资本经营预算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eastAsia="zh-CN"/>
        </w:rPr>
        <w:t>收入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120万元，其中：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eastAsia="zh-CN"/>
        </w:rPr>
        <w:t>上年结余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30万元；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上级补助收入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90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万元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支出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75万元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，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年终结余45万元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。</w:t>
      </w:r>
    </w:p>
    <w:p w14:paraId="18420089">
      <w:pPr>
        <w:snapToGrid w:val="0"/>
        <w:spacing w:before="0" w:beforeAutospacing="0" w:after="0" w:afterAutospacing="0" w:line="660" w:lineRule="exact"/>
        <w:ind w:firstLine="793" w:firstLineChars="247"/>
        <w:jc w:val="both"/>
        <w:textAlignment w:val="baseline"/>
        <w:rPr>
          <w:rFonts w:hint="eastAsia" w:ascii="楷体_GB2312" w:hAnsi="楷体_GB2312" w:eastAsia="楷体_GB2312" w:cs="楷体_GB2312"/>
          <w:b/>
          <w:bCs/>
          <w:i w:val="0"/>
          <w:caps w:val="0"/>
          <w:color w:val="000000"/>
          <w:spacing w:val="0"/>
          <w:w w:val="100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(五)</w:t>
      </w:r>
      <w:r>
        <w:rPr>
          <w:rFonts w:hint="eastAsia" w:ascii="楷体_GB2312" w:hAnsi="楷体_GB2312" w:eastAsia="楷体_GB2312" w:cs="楷体_GB2312"/>
          <w:b/>
          <w:bCs/>
          <w:i w:val="0"/>
          <w:caps w:val="0"/>
          <w:color w:val="000000"/>
          <w:spacing w:val="0"/>
          <w:w w:val="100"/>
          <w:sz w:val="32"/>
          <w:szCs w:val="32"/>
          <w:highlight w:val="none"/>
          <w:lang w:eastAsia="zh-CN"/>
        </w:rPr>
        <w:t>债务情况</w:t>
      </w:r>
    </w:p>
    <w:p w14:paraId="2FC941CE">
      <w:pPr>
        <w:snapToGrid w:val="0"/>
        <w:spacing w:before="0" w:beforeAutospacing="0" w:after="0" w:afterAutospacing="0" w:line="660" w:lineRule="exact"/>
        <w:jc w:val="both"/>
        <w:textAlignment w:val="baseline"/>
        <w:rPr>
          <w:rFonts w:hint="default" w:ascii="仿宋_GB2312" w:hAnsi="仿宋" w:eastAsia="仿宋_GB2312" w:cs="Calibri"/>
          <w:b/>
          <w:bCs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 w:cs="Calibri"/>
          <w:b/>
          <w:bCs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" w:eastAsia="仿宋_GB2312" w:cs="Calibri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 xml:space="preserve">   2020年我区新增债券24560万元，债券余额为98828万元，债务率27.12%。</w:t>
      </w:r>
    </w:p>
    <w:p w14:paraId="79141E03">
      <w:pPr>
        <w:snapToGrid/>
        <w:spacing w:before="0" w:beforeAutospacing="0" w:after="0" w:afterAutospacing="0" w:line="660" w:lineRule="exact"/>
        <w:ind w:firstLine="640" w:firstLineChars="200"/>
        <w:jc w:val="both"/>
        <w:textAlignment w:val="baseline"/>
        <w:rPr>
          <w:rFonts w:ascii="黑体" w:hAnsi="仿宋" w:eastAsia="黑体" w:cs="Times New Roman"/>
          <w:b w:val="0"/>
          <w:i w:val="0"/>
          <w:caps w:val="0"/>
          <w:spacing w:val="0"/>
          <w:w w:val="100"/>
          <w:sz w:val="32"/>
          <w:szCs w:val="32"/>
          <w:highlight w:val="none"/>
        </w:rPr>
      </w:pPr>
      <w:r>
        <w:rPr>
          <w:rFonts w:hint="eastAsia" w:ascii="黑体" w:hAnsi="仿宋" w:eastAsia="黑体" w:cs="仿宋_GB2312"/>
          <w:b w:val="0"/>
          <w:i w:val="0"/>
          <w:caps w:val="0"/>
          <w:spacing w:val="0"/>
          <w:w w:val="100"/>
          <w:sz w:val="32"/>
          <w:szCs w:val="32"/>
          <w:highlight w:val="none"/>
        </w:rPr>
        <w:t>二、20</w:t>
      </w:r>
      <w:r>
        <w:rPr>
          <w:rFonts w:hint="eastAsia" w:ascii="黑体" w:hAnsi="仿宋" w:eastAsia="黑体" w:cs="仿宋_GB2312"/>
          <w:b w:val="0"/>
          <w:i w:val="0"/>
          <w:caps w:val="0"/>
          <w:spacing w:val="0"/>
          <w:w w:val="100"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黑体" w:hAnsi="仿宋" w:eastAsia="黑体" w:cs="仿宋_GB2312"/>
          <w:b w:val="0"/>
          <w:i w:val="0"/>
          <w:caps w:val="0"/>
          <w:spacing w:val="0"/>
          <w:w w:val="100"/>
          <w:sz w:val="32"/>
          <w:szCs w:val="32"/>
          <w:highlight w:val="none"/>
        </w:rPr>
        <w:t>年财政工作成效</w:t>
      </w:r>
    </w:p>
    <w:p w14:paraId="5E092252">
      <w:pPr>
        <w:snapToGrid/>
        <w:spacing w:before="0" w:beforeAutospacing="0" w:after="0" w:afterAutospacing="0" w:line="240" w:lineRule="auto"/>
        <w:ind w:firstLine="643" w:firstLineChars="200"/>
        <w:jc w:val="both"/>
        <w:textAlignment w:val="baseline"/>
        <w:rPr>
          <w:rFonts w:ascii="楷体" w:hAnsi="楷体" w:eastAsia="楷体" w:cs="楷体"/>
          <w:b/>
          <w:bCs/>
          <w:i w:val="0"/>
          <w:caps w:val="0"/>
          <w:spacing w:val="0"/>
          <w:w w:val="100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b/>
          <w:bCs/>
          <w:i w:val="0"/>
          <w:caps w:val="0"/>
          <w:spacing w:val="0"/>
          <w:w w:val="100"/>
          <w:sz w:val="32"/>
          <w:szCs w:val="32"/>
          <w:highlight w:val="none"/>
          <w:lang w:val="en-US" w:eastAsia="zh-CN"/>
        </w:rPr>
        <w:t>（一）、全面</w:t>
      </w:r>
      <w:r>
        <w:rPr>
          <w:rFonts w:hint="eastAsia" w:ascii="楷体" w:hAnsi="楷体" w:eastAsia="楷体" w:cs="楷体"/>
          <w:b/>
          <w:bCs/>
          <w:i w:val="0"/>
          <w:caps w:val="0"/>
          <w:spacing w:val="0"/>
          <w:w w:val="100"/>
          <w:sz w:val="32"/>
          <w:szCs w:val="32"/>
          <w:highlight w:val="none"/>
        </w:rPr>
        <w:t>履行“一岗双责”，</w:t>
      </w:r>
      <w:r>
        <w:rPr>
          <w:rFonts w:hint="eastAsia" w:ascii="楷体" w:hAnsi="楷体" w:eastAsia="楷体" w:cs="楷体"/>
          <w:b/>
          <w:bCs/>
          <w:i w:val="0"/>
          <w:caps w:val="0"/>
          <w:spacing w:val="0"/>
          <w:w w:val="100"/>
          <w:sz w:val="32"/>
          <w:szCs w:val="32"/>
          <w:highlight w:val="none"/>
          <w:lang w:val="en-US" w:eastAsia="zh-CN"/>
        </w:rPr>
        <w:t>进一步</w:t>
      </w:r>
      <w:r>
        <w:rPr>
          <w:rFonts w:hint="eastAsia" w:ascii="楷体" w:hAnsi="楷体" w:eastAsia="楷体" w:cs="楷体"/>
          <w:b/>
          <w:bCs/>
          <w:i w:val="0"/>
          <w:caps w:val="0"/>
          <w:spacing w:val="0"/>
          <w:w w:val="100"/>
          <w:sz w:val="32"/>
          <w:szCs w:val="32"/>
          <w:highlight w:val="none"/>
        </w:rPr>
        <w:t>加强党建工作</w:t>
      </w:r>
    </w:p>
    <w:p w14:paraId="4320F9C7">
      <w:pPr>
        <w:snapToGrid/>
        <w:spacing w:before="0" w:beforeAutospacing="0" w:after="0" w:afterAutospacing="0" w:line="240" w:lineRule="auto"/>
        <w:ind w:firstLine="643" w:firstLineChars="200"/>
        <w:jc w:val="both"/>
        <w:textAlignment w:val="baseline"/>
        <w:rPr>
          <w:rFonts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2"/>
          <w:szCs w:val="32"/>
          <w:highlight w:val="none"/>
          <w:lang w:val="en-US" w:eastAsia="zh-CN"/>
        </w:rPr>
        <w:t>一是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highlight w:val="none"/>
        </w:rPr>
        <w:t>做到推进“两学一做”常态化、制度化。全局上下把学习当作强本领、提素质的重要途径。坚持集中学与自学相结合，制定了《局党组责任清单》和《领导班子责任清单》。做到了党组决议件件有落实、事事有回音。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highlight w:val="none"/>
          <w:lang w:val="en-US" w:eastAsia="zh-CN"/>
        </w:rPr>
        <w:t>二是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highlight w:val="none"/>
        </w:rPr>
        <w:t>局党支部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highlight w:val="none"/>
          <w:lang w:val="en-US" w:eastAsia="zh-CN"/>
        </w:rPr>
        <w:t>及时进行了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highlight w:val="none"/>
        </w:rPr>
        <w:t>换届选举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highlight w:val="none"/>
        </w:rPr>
        <w:t>通过了《关于党支部委员责任分工和加强党小组工作的决议》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highlight w:val="none"/>
          <w:lang w:eastAsia="zh-CN"/>
        </w:rPr>
        <w:t>。</w:t>
      </w:r>
      <w: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2"/>
          <w:szCs w:val="32"/>
          <w:highlight w:val="none"/>
          <w:lang w:val="en-US" w:eastAsia="zh-CN"/>
        </w:rPr>
        <w:t>三是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highlight w:val="none"/>
        </w:rPr>
        <w:t>把</w:t>
      </w:r>
      <w:r>
        <w:rPr>
          <w:b w:val="0"/>
          <w:i w:val="0"/>
          <w:caps w:val="0"/>
          <w:spacing w:val="0"/>
          <w:w w:val="100"/>
          <w:sz w:val="32"/>
          <w:szCs w:val="32"/>
          <w:highlight w:val="none"/>
        </w:rPr>
        <w:fldChar w:fldCharType="begin"/>
      </w:r>
      <w:r>
        <w:rPr>
          <w:b w:val="0"/>
          <w:i w:val="0"/>
          <w:caps w:val="0"/>
          <w:spacing w:val="0"/>
          <w:w w:val="100"/>
          <w:sz w:val="32"/>
          <w:szCs w:val="32"/>
          <w:highlight w:val="none"/>
        </w:rPr>
        <w:instrText xml:space="preserve"> HYPERLINK "http://www.wm114.cn/0o/58/index.html" </w:instrText>
      </w:r>
      <w:r>
        <w:rPr>
          <w:b w:val="0"/>
          <w:i w:val="0"/>
          <w:caps w:val="0"/>
          <w:spacing w:val="0"/>
          <w:w w:val="100"/>
          <w:sz w:val="32"/>
          <w:szCs w:val="32"/>
          <w:highlight w:val="none"/>
        </w:rPr>
        <w:fldChar w:fldCharType="separate"/>
      </w:r>
      <w:r>
        <w:rPr>
          <w:rFonts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highlight w:val="none"/>
        </w:rPr>
        <w:t>意识形态</w:t>
      </w:r>
      <w:r>
        <w:rPr>
          <w:rFonts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highlight w:val="none"/>
        </w:rPr>
        <w:fldChar w:fldCharType="end"/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highlight w:val="none"/>
        </w:rPr>
        <w:t>工作作为党的建设重要内容，全年召开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highlight w:val="none"/>
        </w:rPr>
        <w:t>次专题会议研究意识形态工作，提交意识形态研判报告3篇。</w:t>
      </w:r>
      <w: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2"/>
          <w:szCs w:val="32"/>
          <w:highlight w:val="none"/>
          <w:lang w:val="en-US" w:eastAsia="zh-CN"/>
        </w:rPr>
        <w:t>四是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highlight w:val="none"/>
        </w:rPr>
        <w:t>认真贯彻执行中央</w:t>
      </w:r>
      <w:r>
        <w:rPr>
          <w:b w:val="0"/>
          <w:i w:val="0"/>
          <w:caps w:val="0"/>
          <w:spacing w:val="0"/>
          <w:w w:val="100"/>
          <w:sz w:val="32"/>
          <w:szCs w:val="32"/>
          <w:highlight w:val="none"/>
        </w:rPr>
        <w:fldChar w:fldCharType="begin"/>
      </w:r>
      <w:r>
        <w:rPr>
          <w:b w:val="0"/>
          <w:i w:val="0"/>
          <w:caps w:val="0"/>
          <w:spacing w:val="0"/>
          <w:w w:val="100"/>
          <w:sz w:val="32"/>
          <w:szCs w:val="32"/>
          <w:highlight w:val="none"/>
        </w:rPr>
        <w:instrText xml:space="preserve"> HYPERLINK "https://www.wm114.cn/wen/207/412693.html" </w:instrText>
      </w:r>
      <w:r>
        <w:rPr>
          <w:b w:val="0"/>
          <w:i w:val="0"/>
          <w:caps w:val="0"/>
          <w:spacing w:val="0"/>
          <w:w w:val="100"/>
          <w:sz w:val="32"/>
          <w:szCs w:val="32"/>
          <w:highlight w:val="none"/>
        </w:rPr>
        <w:fldChar w:fldCharType="separate"/>
      </w:r>
      <w:r>
        <w:rPr>
          <w:rFonts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highlight w:val="none"/>
        </w:rPr>
        <w:t>八项规定</w:t>
      </w:r>
      <w:r>
        <w:rPr>
          <w:rFonts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highlight w:val="none"/>
        </w:rPr>
        <w:fldChar w:fldCharType="end"/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highlight w:val="none"/>
        </w:rPr>
        <w:t>及实施细则。先后召开三次纪律作风整顿大会，讲了2堂以党风廉政建设为主要内容的党课。</w:t>
      </w:r>
      <w: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2"/>
          <w:szCs w:val="32"/>
          <w:highlight w:val="none"/>
          <w:lang w:val="en-US" w:eastAsia="zh-CN"/>
        </w:rPr>
        <w:t>五是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highlight w:val="none"/>
        </w:rPr>
        <w:t>健全班子学法制度，制定了年度学法计划，形成了尊法学法守法用法的良好氛围。</w:t>
      </w:r>
    </w:p>
    <w:p w14:paraId="49815F53">
      <w:pPr>
        <w:snapToGrid w:val="0"/>
        <w:spacing w:before="0" w:beforeAutospacing="0" w:after="0" w:afterAutospacing="0" w:line="660" w:lineRule="exact"/>
        <w:ind w:firstLine="643" w:firstLineChars="200"/>
        <w:jc w:val="both"/>
        <w:textAlignment w:val="baseline"/>
        <w:rPr>
          <w:rFonts w:hint="eastAsia" w:ascii="仿宋_GB2312" w:hAnsi="仿宋" w:eastAsia="仿宋_GB2312" w:cs="Calibri"/>
          <w:b/>
          <w:bCs/>
          <w:i w:val="0"/>
          <w:caps w:val="0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 w:cs="Calibri"/>
          <w:b/>
          <w:bCs/>
          <w:i w:val="0"/>
          <w:caps w:val="0"/>
          <w:spacing w:val="0"/>
          <w:w w:val="100"/>
          <w:sz w:val="32"/>
          <w:szCs w:val="32"/>
          <w:highlight w:val="none"/>
          <w:lang w:val="en-US" w:eastAsia="zh-CN"/>
        </w:rPr>
        <w:t>（二）密切配合精心组织，积极应对新冠肺炎疫情</w:t>
      </w:r>
    </w:p>
    <w:p w14:paraId="0E437487">
      <w:pPr>
        <w:snapToGrid w:val="0"/>
        <w:spacing w:before="0" w:beforeAutospacing="0" w:after="0" w:afterAutospacing="0" w:line="660" w:lineRule="exact"/>
        <w:ind w:firstLine="640" w:firstLineChars="200"/>
        <w:jc w:val="both"/>
        <w:textAlignment w:val="baseline"/>
        <w:rPr>
          <w:rFonts w:hint="eastAsia" w:ascii="仿宋_GB2312" w:hAnsi="仿宋" w:eastAsia="仿宋_GB2312" w:cs="Calibri"/>
          <w:b w:val="0"/>
          <w:bCs w:val="0"/>
          <w:i w:val="0"/>
          <w:caps w:val="0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 w:cs="Calibri"/>
          <w:b w:val="0"/>
          <w:bCs w:val="0"/>
          <w:i w:val="0"/>
          <w:caps w:val="0"/>
          <w:spacing w:val="0"/>
          <w:w w:val="100"/>
          <w:sz w:val="32"/>
          <w:szCs w:val="32"/>
          <w:highlight w:val="none"/>
          <w:lang w:val="en-US" w:eastAsia="zh-CN"/>
        </w:rPr>
        <w:t>面对来势汹汹的疫情，财政部门紧急动员、迅速行动，按规定及时落实对医护防疫人员的经费补助，强化疫情防控物资采购，全力支持打赢疫情防控阻击战。开辟绿色通道，急事急办、特事特办，密切配合区卫健体局、各乡镇（街道办事处）、各医院，及时了解疫情防控应急处置、药品、物资储备等经费需求，多渠道筹措资金，做好疫情防控资金的调度、拨付和监管工作。全年共下达疫情防控财政资金4603.27万元，有力保障了全区疫情防控工作的有序开展。</w:t>
      </w:r>
    </w:p>
    <w:p w14:paraId="5845F928">
      <w:pPr>
        <w:keepLines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 w:color="auto" w:fill="auto"/>
        <w:snapToGrid/>
        <w:spacing w:before="0" w:beforeAutospacing="0" w:after="0" w:afterAutospacing="0" w:line="600" w:lineRule="exact"/>
        <w:ind w:firstLine="643" w:firstLineChars="200"/>
        <w:jc w:val="both"/>
        <w:textAlignment w:val="baseline"/>
        <w:rPr>
          <w:rFonts w:hint="eastAsia" w:ascii="仿宋_GB2312" w:hAnsi="仿宋_GB2312" w:eastAsia="仿宋_GB2312" w:cs="仿宋_GB2312"/>
          <w:b/>
          <w:i w:val="0"/>
          <w:caps w:val="0"/>
          <w:spacing w:val="0"/>
          <w:w w:val="100"/>
          <w:sz w:val="32"/>
          <w:szCs w:val="32"/>
          <w:highlight w:val="none"/>
        </w:rPr>
      </w:pPr>
      <w:r>
        <w:rPr>
          <w:rFonts w:hint="eastAsia" w:ascii="仿宋_GB2312" w:hAnsi="仿宋" w:eastAsia="仿宋_GB2312" w:cs="Calibri"/>
          <w:b/>
          <w:bCs/>
          <w:i w:val="0"/>
          <w:caps w:val="0"/>
          <w:spacing w:val="0"/>
          <w:w w:val="100"/>
          <w:sz w:val="32"/>
          <w:szCs w:val="32"/>
          <w:highlight w:val="none"/>
          <w:lang w:val="en-US" w:eastAsia="zh-CN"/>
        </w:rPr>
        <w:t>（三）、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spacing w:val="0"/>
          <w:w w:val="100"/>
          <w:sz w:val="32"/>
          <w:szCs w:val="32"/>
          <w:highlight w:val="none"/>
          <w:lang w:val="en-US" w:eastAsia="zh-CN"/>
        </w:rPr>
        <w:t>千方百计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spacing w:val="0"/>
          <w:w w:val="100"/>
          <w:sz w:val="32"/>
          <w:szCs w:val="32"/>
          <w:highlight w:val="none"/>
        </w:rPr>
        <w:t>增收节支，确保全年财政收支平衡</w:t>
      </w:r>
    </w:p>
    <w:p w14:paraId="7650371E">
      <w:pPr>
        <w:snapToGrid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Style w:val="9"/>
          <w:rFonts w:hint="default" w:ascii="楷体" w:hAnsi="楷体" w:eastAsia="仿宋" w:cs="楷体"/>
          <w:b w:val="0"/>
          <w:i w:val="0"/>
          <w:caps w:val="0"/>
          <w:color w:val="ED7D31" w:themeColor="accent2"/>
          <w:spacing w:val="0"/>
          <w:w w:val="100"/>
          <w:sz w:val="32"/>
          <w:szCs w:val="32"/>
          <w:highlight w:val="none"/>
          <w:lang w:val="en-US" w:eastAsia="zh-CN"/>
          <w14:textFill>
            <w14:solidFill>
              <w14:schemeClr w14:val="accent2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highlight w:val="none"/>
        </w:rPr>
        <w:t>为积极应对疫情对我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highlight w:val="none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highlight w:val="none"/>
        </w:rPr>
        <w:t>财政收入的不利影响，财政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highlight w:val="none"/>
          <w:lang w:val="en-US" w:eastAsia="zh-CN"/>
        </w:rPr>
        <w:t>部门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highlight w:val="none"/>
        </w:rPr>
        <w:t>采取多项措施促进预算收支平稳运行。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spacing w:val="0"/>
          <w:w w:val="100"/>
          <w:sz w:val="32"/>
          <w:szCs w:val="32"/>
          <w:highlight w:val="none"/>
        </w:rPr>
        <w:t>一是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highlight w:val="none"/>
        </w:rPr>
        <w:t>加大力度争取上级支持。抓住中央增加财政赤字规模、发行抗疫特别国债等政策，多次赴省财政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厅反映我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工作现状和财政困难，最大限度争取上级财力补助。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全年共争取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返还性收入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均衡性转移支付收入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县级基本财力保障机制奖补资金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、共同财政事权等补助收入181192万元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二是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牢固树立过“紧日子”思想。</w:t>
      </w:r>
      <w:r>
        <w:rPr>
          <w:rFonts w:hAnsi="仿宋_GB2312" w:eastAsia="仿宋_GB2312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bidi="ar"/>
        </w:rPr>
        <w:t>全</w:t>
      </w:r>
      <w:r>
        <w:rPr>
          <w:rFonts w:hint="eastAsia" w:hAnsi="仿宋_GB2312" w:eastAsia="仿宋_GB2312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 w:bidi="ar"/>
        </w:rPr>
        <w:t>区</w:t>
      </w:r>
      <w:r>
        <w:rPr>
          <w:rFonts w:hAnsi="仿宋_GB2312" w:eastAsia="仿宋_GB2312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bidi="ar"/>
        </w:rPr>
        <w:t>一般性支出预算压缩</w:t>
      </w:r>
      <w:r>
        <w:rPr>
          <w:rFonts w:hint="eastAsia" w:eastAsia="仿宋_GB2312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 w:bidi="ar"/>
        </w:rPr>
        <w:t>281</w:t>
      </w:r>
      <w:r>
        <w:rPr>
          <w:rFonts w:hAnsi="仿宋_GB2312" w:eastAsia="仿宋_GB2312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bidi="ar"/>
        </w:rPr>
        <w:t>万元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highlight w:val="none"/>
        </w:rPr>
        <w:t>。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spacing w:val="0"/>
          <w:w w:val="100"/>
          <w:sz w:val="32"/>
          <w:szCs w:val="32"/>
          <w:highlight w:val="none"/>
        </w:rPr>
        <w:t>三是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highlight w:val="none"/>
        </w:rPr>
        <w:t>在限额内发行政府债券支持我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highlight w:val="none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highlight w:val="none"/>
        </w:rPr>
        <w:t>基础公共设施和重大项目建设。</w:t>
      </w:r>
      <w:r>
        <w:rPr>
          <w:rStyle w:val="9"/>
          <w:rFonts w:hint="eastAsia" w:ascii="仿宋_GB2312" w:eastAsia="仿宋_GB2312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全年共</w:t>
      </w:r>
      <w:r>
        <w:rPr>
          <w:rStyle w:val="9"/>
          <w:rFonts w:hint="eastAsia" w:eastAsia="仿宋_GB2312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争取</w:t>
      </w:r>
      <w:r>
        <w:rPr>
          <w:rStyle w:val="9"/>
          <w:rFonts w:hint="eastAsia" w:ascii="仿宋_GB2312" w:eastAsia="仿宋_GB2312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债券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24560万元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政府债务率为27.12%</w:t>
      </w:r>
      <w:r>
        <w:rPr>
          <w:rStyle w:val="9"/>
          <w:rFonts w:hint="eastAsia" w:ascii="仿宋_GB2312" w:eastAsia="仿宋_GB2312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。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牢牢地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highlight w:val="none"/>
        </w:rPr>
        <w:t>把债务风险控制在了预警线100%以内，牢固树立红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线、底线意识。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四是</w:t>
      </w:r>
      <w:r>
        <w:rPr>
          <w:rFonts w:hint="eastAsia" w:ascii="仿宋_GB2312" w:hAnsi="仿宋_GB2312" w:eastAsia="仿宋_GB2312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大力盘活财政存量资金，清理结转结余资金，及时将无法支出的项目资金，按规定调整用于其他亟需支持的领域。</w:t>
      </w:r>
      <w:r>
        <w:rPr>
          <w:rFonts w:hint="eastAsia" w:ascii="仿宋_GB2312" w:hAnsi="仿宋_GB2312" w:eastAsia="仿宋_GB2312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全年共盘活存量资金5047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万元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eastAsia="zh-CN"/>
        </w:rPr>
        <w:t>。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五是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严控“三公”经费支出。全区“三公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eastAsia="zh-CN"/>
        </w:rPr>
        <w:t>”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经费支出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711.61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 xml:space="preserve">万元，同比下降 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25.51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 xml:space="preserve"> %。</w:t>
      </w:r>
    </w:p>
    <w:p w14:paraId="5921C419">
      <w:pPr>
        <w:keepLines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 w:color="auto" w:fill="auto"/>
        <w:snapToGrid/>
        <w:spacing w:before="0" w:beforeAutospacing="0" w:after="0" w:afterAutospacing="0" w:line="600" w:lineRule="exact"/>
        <w:ind w:firstLine="643" w:firstLineChars="200"/>
        <w:jc w:val="both"/>
        <w:textAlignment w:val="baseline"/>
        <w:rPr>
          <w:rFonts w:hint="default" w:ascii="仿宋_GB2312" w:hAnsi="仿宋_GB2312" w:eastAsia="仿宋_GB2312" w:cs="仿宋_GB2312"/>
          <w:b/>
          <w:bCs w:val="0"/>
          <w:i w:val="0"/>
          <w:caps w:val="0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i w:val="0"/>
          <w:caps w:val="0"/>
          <w:spacing w:val="0"/>
          <w:w w:val="100"/>
          <w:sz w:val="32"/>
          <w:szCs w:val="32"/>
          <w:highlight w:val="none"/>
          <w:lang w:val="en-US" w:eastAsia="zh-CN"/>
        </w:rPr>
        <w:t>（四）、密切关注</w:t>
      </w:r>
      <w:r>
        <w:rPr>
          <w:rFonts w:hint="eastAsia" w:ascii="仿宋_GB2312" w:hAnsi="仿宋_GB2312" w:eastAsia="仿宋_GB2312" w:cs="仿宋_GB2312"/>
          <w:b/>
          <w:bCs w:val="0"/>
          <w:i w:val="0"/>
          <w:caps w:val="0"/>
          <w:spacing w:val="0"/>
          <w:w w:val="100"/>
          <w:sz w:val="32"/>
          <w:szCs w:val="32"/>
          <w:highlight w:val="none"/>
        </w:rPr>
        <w:t>群众利益，民生保障</w:t>
      </w:r>
      <w:r>
        <w:rPr>
          <w:rFonts w:hint="eastAsia" w:ascii="仿宋_GB2312" w:hAnsi="仿宋_GB2312" w:eastAsia="仿宋_GB2312" w:cs="仿宋_GB2312"/>
          <w:b/>
          <w:bCs w:val="0"/>
          <w:i w:val="0"/>
          <w:caps w:val="0"/>
          <w:spacing w:val="0"/>
          <w:w w:val="100"/>
          <w:sz w:val="32"/>
          <w:szCs w:val="32"/>
          <w:highlight w:val="none"/>
          <w:lang w:val="en-US" w:eastAsia="zh-CN"/>
        </w:rPr>
        <w:t>进一步加强</w:t>
      </w:r>
    </w:p>
    <w:p w14:paraId="392C5DB6">
      <w:pPr>
        <w:snapToGrid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Fonts w:hint="eastAsia" w:ascii="仿宋_GB2312" w:hAnsi="仿宋_GB2312" w:eastAsia="仿宋_GB2312"/>
          <w:b w:val="0"/>
          <w:i w:val="0"/>
          <w:caps w:val="0"/>
          <w:color w:val="FF0000"/>
          <w:spacing w:val="0"/>
          <w:w w:val="10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highlight w:val="none"/>
          <w:lang w:val="en-US" w:eastAsia="zh-CN"/>
        </w:rPr>
        <w:t>一是助力“三农”发展。2020年我区投入财政涉农资金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51174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highlight w:val="none"/>
          <w:lang w:val="en-US" w:eastAsia="zh-CN"/>
        </w:rPr>
        <w:t> 万元,使乡村振兴战略得到长足的发展。</w:t>
      </w:r>
      <w:r>
        <w:rPr>
          <w:rStyle w:val="9"/>
          <w:rFonts w:hint="eastAsia" w:ascii="仿宋_GB2312" w:eastAsia="仿宋_GB2312"/>
          <w:b/>
          <w:bCs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二是</w:t>
      </w:r>
      <w:r>
        <w:rPr>
          <w:rStyle w:val="9"/>
          <w:rFonts w:hint="eastAsia" w:eastAsia="仿宋_GB2312"/>
          <w:b/>
          <w:bCs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加大民生投入。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highlight w:val="none"/>
        </w:rPr>
        <w:t>20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highlight w:val="none"/>
        </w:rPr>
        <w:t>年，我区用于民生方面的支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highlight w:val="none"/>
          <w:lang w:val="en-US" w:eastAsia="zh-CN"/>
        </w:rPr>
        <w:t>出83890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highlight w:val="none"/>
        </w:rPr>
        <w:t>万元，占一般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highlight w:val="none"/>
          <w:lang w:val="en-US" w:eastAsia="zh-CN"/>
        </w:rPr>
        <w:t>公共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highlight w:val="none"/>
        </w:rPr>
        <w:t>预算支出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highlight w:val="none"/>
          <w:lang w:val="en-US" w:eastAsia="zh-CN"/>
        </w:rPr>
        <w:t>28.37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highlight w:val="none"/>
        </w:rPr>
        <w:t>%。教育经费及办学条件改善明显推进，支持社会保障和就业迈上新的台阶，推动棚户区改造取得新进展。在收支矛盾十分尖锐的情况下，我们全力优化支出结构，保工资、保民生、保运转，医疗、科教、文化、就业等支出给予充分保障，进一步增强了人民群众的获得感和幸福感。</w:t>
      </w:r>
      <w:r>
        <w:rPr>
          <w:rStyle w:val="9"/>
          <w:rFonts w:hint="eastAsia" w:ascii="仿宋_GB2312" w:eastAsia="仿宋_GB2312"/>
          <w:b/>
          <w:bCs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三是</w:t>
      </w:r>
      <w:r>
        <w:rPr>
          <w:rStyle w:val="9"/>
          <w:rFonts w:hint="eastAsia" w:ascii="仿宋_GB2312" w:eastAsia="仿宋_GB2312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持续加强社会保障。推进完善统一的城乡居民基本医疗保险制度和大病救助制度。继续做好社会救助工作，支持完善社会救助、社会福利、慈善事业、优抚安置等制度。继续做好退役士兵社保接续工作。鼓励社会力量积极参与到养老服务业发展当中。</w:t>
      </w:r>
    </w:p>
    <w:p w14:paraId="206CA96C">
      <w:pPr>
        <w:keepLines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 w:color="auto" w:fill="auto"/>
        <w:snapToGrid/>
        <w:spacing w:before="0" w:beforeAutospacing="0" w:after="0" w:afterAutospacing="0" w:line="600" w:lineRule="exact"/>
        <w:ind w:firstLine="643" w:firstLineChars="200"/>
        <w:jc w:val="both"/>
        <w:textAlignment w:val="baseline"/>
        <w:rPr>
          <w:rFonts w:hint="eastAsia" w:ascii="仿宋_GB2312" w:hAnsi="仿宋_GB2312" w:eastAsia="仿宋_GB2312" w:cs="仿宋_GB2312"/>
          <w:b/>
          <w:i w:val="0"/>
          <w:caps w:val="0"/>
          <w:spacing w:val="0"/>
          <w:w w:val="1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i w:val="0"/>
          <w:caps w:val="0"/>
          <w:spacing w:val="0"/>
          <w:w w:val="100"/>
          <w:sz w:val="32"/>
          <w:szCs w:val="32"/>
          <w:highlight w:val="none"/>
          <w:lang w:val="en-US" w:eastAsia="zh-CN"/>
        </w:rPr>
        <w:t>（五）</w:t>
      </w:r>
      <w:r>
        <w:rPr>
          <w:rFonts w:hint="eastAsia" w:ascii="仿宋_GB2312" w:hAnsi="仿宋_GB2312" w:eastAsia="仿宋_GB2312" w:cs="仿宋_GB2312"/>
          <w:b/>
          <w:i w:val="0"/>
          <w:caps w:val="0"/>
          <w:spacing w:val="0"/>
          <w:w w:val="100"/>
          <w:sz w:val="32"/>
          <w:szCs w:val="32"/>
          <w:highlight w:val="none"/>
        </w:rPr>
        <w:t>、</w:t>
      </w:r>
      <w:r>
        <w:rPr>
          <w:rFonts w:hint="eastAsia" w:ascii="仿宋_GB2312" w:hAnsi="仿宋_GB2312" w:eastAsia="仿宋_GB2312" w:cs="仿宋_GB2312"/>
          <w:b/>
          <w:i w:val="0"/>
          <w:caps w:val="0"/>
          <w:spacing w:val="0"/>
          <w:w w:val="100"/>
          <w:sz w:val="32"/>
          <w:szCs w:val="32"/>
          <w:highlight w:val="none"/>
          <w:lang w:val="en-US" w:eastAsia="zh-CN"/>
        </w:rPr>
        <w:t>继续</w:t>
      </w:r>
      <w:r>
        <w:rPr>
          <w:rFonts w:hint="eastAsia" w:ascii="仿宋_GB2312" w:hAnsi="仿宋_GB2312" w:eastAsia="仿宋_GB2312" w:cs="仿宋_GB2312"/>
          <w:b/>
          <w:i w:val="0"/>
          <w:caps w:val="0"/>
          <w:spacing w:val="0"/>
          <w:w w:val="100"/>
          <w:sz w:val="32"/>
          <w:szCs w:val="32"/>
          <w:highlight w:val="none"/>
        </w:rPr>
        <w:t>深化</w:t>
      </w:r>
      <w:r>
        <w:rPr>
          <w:rFonts w:hint="eastAsia" w:ascii="仿宋_GB2312" w:hAnsi="仿宋_GB2312" w:eastAsia="仿宋_GB2312" w:cs="仿宋_GB2312"/>
          <w:b/>
          <w:i w:val="0"/>
          <w:caps w:val="0"/>
          <w:spacing w:val="0"/>
          <w:w w:val="100"/>
          <w:sz w:val="32"/>
          <w:szCs w:val="32"/>
          <w:highlight w:val="none"/>
          <w:lang w:val="en-US" w:eastAsia="zh-CN"/>
        </w:rPr>
        <w:t>财政</w:t>
      </w:r>
      <w:r>
        <w:rPr>
          <w:rFonts w:hint="eastAsia" w:ascii="仿宋_GB2312" w:hAnsi="仿宋_GB2312" w:eastAsia="仿宋_GB2312" w:cs="仿宋_GB2312"/>
          <w:b/>
          <w:i w:val="0"/>
          <w:caps w:val="0"/>
          <w:spacing w:val="0"/>
          <w:w w:val="100"/>
          <w:sz w:val="32"/>
          <w:szCs w:val="32"/>
          <w:highlight w:val="none"/>
        </w:rPr>
        <w:t>改革，</w:t>
      </w:r>
      <w:r>
        <w:rPr>
          <w:rFonts w:hint="eastAsia" w:ascii="仿宋_GB2312" w:hAnsi="仿宋_GB2312" w:eastAsia="仿宋_GB2312" w:cs="仿宋_GB2312"/>
          <w:b/>
          <w:i w:val="0"/>
          <w:caps w:val="0"/>
          <w:spacing w:val="0"/>
          <w:w w:val="100"/>
          <w:sz w:val="32"/>
          <w:szCs w:val="32"/>
          <w:highlight w:val="none"/>
          <w:lang w:val="en-US" w:eastAsia="zh-CN"/>
        </w:rPr>
        <w:t>不断</w:t>
      </w:r>
      <w:r>
        <w:rPr>
          <w:rFonts w:hint="eastAsia" w:ascii="仿宋_GB2312" w:hAnsi="仿宋_GB2312" w:eastAsia="仿宋_GB2312" w:cs="仿宋_GB2312"/>
          <w:b/>
          <w:i w:val="0"/>
          <w:caps w:val="0"/>
          <w:spacing w:val="0"/>
          <w:w w:val="100"/>
          <w:sz w:val="32"/>
          <w:szCs w:val="32"/>
          <w:highlight w:val="none"/>
        </w:rPr>
        <w:t>提高预算管理水平</w:t>
      </w:r>
    </w:p>
    <w:p w14:paraId="6C2D8EC4">
      <w:pPr>
        <w:snapToGrid/>
        <w:spacing w:before="0" w:beforeAutospacing="0" w:after="0" w:afterAutospacing="0" w:line="240" w:lineRule="auto"/>
        <w:ind w:firstLine="643" w:firstLineChars="200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highlight w:val="none"/>
        </w:rPr>
      </w:pPr>
      <w:r>
        <w:rPr>
          <w:rFonts w:hint="eastAsia" w:ascii="仿宋_GB2312" w:hAnsi="仿宋_GB2312" w:eastAsia="仿宋_GB2312"/>
          <w:b/>
          <w:bCs/>
          <w:i w:val="0"/>
          <w:caps w:val="0"/>
          <w:spacing w:val="0"/>
          <w:w w:val="100"/>
          <w:sz w:val="32"/>
          <w:szCs w:val="32"/>
          <w:highlight w:val="none"/>
        </w:rPr>
        <w:t>一是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highlight w:val="none"/>
        </w:rPr>
        <w:t>全面实施预算管理一体化改革准备工作。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w w:val="100"/>
          <w:sz w:val="32"/>
          <w:szCs w:val="32"/>
          <w:highlight w:val="none"/>
          <w:shd w:val="clear" w:color="auto" w:fill="FFFFFF"/>
        </w:rPr>
        <w:t>按照财政部和省财政厅的安排，从2021年1月1日起，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highlight w:val="none"/>
        </w:rPr>
        <w:t>将预算编制、预算执行、单位会计核算、绩效管理、政府采购、资产管理等核心业务全部纳入《山西省财政核心业务一体化系统》。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w w:val="100"/>
          <w:sz w:val="32"/>
          <w:szCs w:val="32"/>
          <w:highlight w:val="none"/>
          <w:shd w:val="clear" w:color="auto" w:fill="FFFFFF"/>
        </w:rPr>
        <w:t>为此，我们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highlight w:val="none"/>
          <w:lang w:val="en-US" w:eastAsia="zh-CN"/>
        </w:rPr>
        <w:t>制定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highlight w:val="none"/>
        </w:rPr>
        <w:t>了《实施方案》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highlight w:val="none"/>
          <w:lang w:val="en-US" w:eastAsia="zh-CN"/>
        </w:rPr>
        <w:t>并聘请业务专家对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highlight w:val="none"/>
        </w:rPr>
        <w:t>全区的财会人员进行了集中培训。</w:t>
      </w:r>
      <w:r>
        <w:rPr>
          <w:rFonts w:hint="eastAsia" w:ascii="仿宋_GB2312" w:hAnsi="仿宋_GB2312" w:eastAsia="仿宋_GB2312"/>
          <w:b/>
          <w:bCs/>
          <w:i w:val="0"/>
          <w:caps w:val="0"/>
          <w:spacing w:val="0"/>
          <w:w w:val="100"/>
          <w:sz w:val="32"/>
          <w:szCs w:val="32"/>
          <w:highlight w:val="none"/>
        </w:rPr>
        <w:t>二是</w:t>
      </w:r>
      <w:r>
        <w:rPr>
          <w:rFonts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highlight w:val="none"/>
        </w:rPr>
        <w:t>建立健全</w:t>
      </w:r>
      <w:bookmarkStart w:id="0" w:name="_GoBack"/>
      <w:r>
        <w:rPr>
          <w:rFonts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highlight w:val="none"/>
        </w:rPr>
        <w:t>财政支出</w:t>
      </w:r>
      <w:bookmarkEnd w:id="0"/>
      <w:r>
        <w:rPr>
          <w:rFonts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highlight w:val="none"/>
        </w:rPr>
        <w:t>绩效评价管理体系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highlight w:val="none"/>
        </w:rPr>
        <w:t>。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highlight w:val="none"/>
          <w:lang w:val="en-US" w:eastAsia="zh-CN"/>
        </w:rPr>
        <w:t>按照省、市政府要求，</w:t>
      </w:r>
      <w:r>
        <w:rPr>
          <w:rFonts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highlight w:val="none"/>
        </w:rPr>
        <w:t>结合我区实际，细化指标，完善标准，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highlight w:val="none"/>
        </w:rPr>
        <w:t>报请区委区政府出台</w:t>
      </w:r>
      <w:r>
        <w:rPr>
          <w:rFonts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highlight w:val="none"/>
        </w:rPr>
        <w:t>了《2020年财政支出绩效评价工作实施方案》与5个配套《办法》等规章制度，进一步明确了绩效评价工作目标。建成了全方位、全过程、全覆盖的预算绩效管理体系。</w:t>
      </w:r>
      <w:r>
        <w:rPr>
          <w:rFonts w:hint="eastAsia" w:ascii="仿宋_GB2312" w:hAnsi="仿宋_GB2312" w:eastAsia="仿宋_GB2312"/>
          <w:b/>
          <w:bCs/>
          <w:i w:val="0"/>
          <w:caps w:val="0"/>
          <w:spacing w:val="0"/>
          <w:w w:val="100"/>
          <w:sz w:val="32"/>
          <w:szCs w:val="32"/>
          <w:highlight w:val="none"/>
        </w:rPr>
        <w:t>三是</w:t>
      </w:r>
      <w:r>
        <w:rPr>
          <w:rFonts w:hint="eastAsia" w:ascii="仿宋_GB2312" w:hAnsi="仿宋_GB2312" w:eastAsia="仿宋_GB2312"/>
          <w:b w:val="0"/>
          <w:i w:val="0"/>
          <w:caps w:val="0"/>
          <w:spacing w:val="0"/>
          <w:w w:val="100"/>
          <w:sz w:val="32"/>
          <w:szCs w:val="32"/>
          <w:highlight w:val="none"/>
        </w:rPr>
        <w:t>加强完善政府采购管理。完善新型采购人制度体系，提高采购人专业化采购能力，科学合理确定采购需求。</w:t>
      </w:r>
      <w:r>
        <w:rPr>
          <w:rFonts w:hint="eastAsia" w:ascii="仿宋_GB2312" w:hAnsi="仿宋_GB2312" w:eastAsia="仿宋_GB2312"/>
          <w:b w:val="0"/>
          <w:i w:val="0"/>
          <w:caps w:val="0"/>
          <w:spacing w:val="0"/>
          <w:w w:val="100"/>
          <w:sz w:val="32"/>
          <w:szCs w:val="32"/>
          <w:highlight w:val="none"/>
          <w:lang w:val="en-US" w:eastAsia="zh-CN"/>
        </w:rPr>
        <w:t>全年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highlight w:val="none"/>
        </w:rPr>
        <w:t>政府采购金额为25210.94万元，比年初采购预算12027.97万元增支13182.97万元。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highlight w:val="none"/>
          <w:lang w:val="en-US" w:eastAsia="zh-CN"/>
        </w:rPr>
        <w:t>四是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highlight w:val="none"/>
        </w:rPr>
        <w:t>加大财政资金评审力度，确保财政资金使用效率。全年</w:t>
      </w:r>
      <w:r>
        <w:rPr>
          <w:rFonts w:hint="eastAsia" w:ascii="仿宋" w:hAnsi="仿宋" w:eastAsia="仿宋"/>
          <w:b w:val="0"/>
          <w:i w:val="0"/>
          <w:caps w:val="0"/>
          <w:spacing w:val="0"/>
          <w:w w:val="100"/>
          <w:kern w:val="15"/>
          <w:sz w:val="32"/>
          <w:szCs w:val="32"/>
          <w:highlight w:val="none"/>
        </w:rPr>
        <w:t>共完成53个评审项目，</w:t>
      </w:r>
      <w:r>
        <w:rPr>
          <w:rFonts w:hint="eastAsia" w:ascii="仿宋" w:hAnsi="仿宋" w:eastAsia="仿宋"/>
          <w:b w:val="0"/>
          <w:i w:val="0"/>
          <w:caps w:val="0"/>
          <w:spacing w:val="0"/>
          <w:w w:val="100"/>
          <w:sz w:val="32"/>
          <w:szCs w:val="32"/>
          <w:highlight w:val="none"/>
        </w:rPr>
        <w:t>其中：项目结算评审17个，申报结算金额6372.8万元，审核金额4493.71万元，核减金额1879.09万元，核减率29.49%；项目进度款评审24个，申报预算金额35029.81万元，审核金额25649.22万元，核减金额9380.59万元，核减率26.78%；事前评审项目9个，申报预算金额2118.73万元，审核金额1751.42万元，</w:t>
      </w:r>
      <w:r>
        <w:rPr>
          <w:rFonts w:hint="eastAsia" w:ascii="仿宋" w:hAnsi="仿宋" w:eastAsia="仿宋"/>
          <w:b w:val="0"/>
          <w:i w:val="0"/>
          <w:caps w:val="0"/>
          <w:spacing w:val="0"/>
          <w:w w:val="100"/>
          <w:sz w:val="32"/>
          <w:szCs w:val="32"/>
          <w:highlight w:val="none"/>
          <w:lang w:val="en-US" w:eastAsia="zh-CN"/>
        </w:rPr>
        <w:t>核</w:t>
      </w:r>
      <w:r>
        <w:rPr>
          <w:rFonts w:hint="eastAsia" w:ascii="仿宋" w:hAnsi="仿宋" w:eastAsia="仿宋"/>
          <w:b w:val="0"/>
          <w:i w:val="0"/>
          <w:caps w:val="0"/>
          <w:spacing w:val="0"/>
          <w:w w:val="100"/>
          <w:sz w:val="32"/>
          <w:szCs w:val="32"/>
          <w:highlight w:val="none"/>
        </w:rPr>
        <w:t>减金额367.31万元，</w:t>
      </w:r>
      <w:r>
        <w:rPr>
          <w:rFonts w:hint="eastAsia" w:ascii="仿宋" w:hAnsi="仿宋" w:eastAsia="仿宋"/>
          <w:b w:val="0"/>
          <w:i w:val="0"/>
          <w:caps w:val="0"/>
          <w:spacing w:val="0"/>
          <w:w w:val="100"/>
          <w:sz w:val="32"/>
          <w:szCs w:val="32"/>
          <w:highlight w:val="none"/>
          <w:lang w:val="en-US" w:eastAsia="zh-CN"/>
        </w:rPr>
        <w:t>核</w:t>
      </w:r>
      <w:r>
        <w:rPr>
          <w:rFonts w:hint="eastAsia" w:ascii="仿宋" w:hAnsi="仿宋" w:eastAsia="仿宋"/>
          <w:b w:val="0"/>
          <w:i w:val="0"/>
          <w:caps w:val="0"/>
          <w:spacing w:val="0"/>
          <w:w w:val="100"/>
          <w:sz w:val="32"/>
          <w:szCs w:val="32"/>
          <w:highlight w:val="none"/>
        </w:rPr>
        <w:t>减</w:t>
      </w:r>
      <w:r>
        <w:rPr>
          <w:rFonts w:hint="eastAsia" w:ascii="仿宋" w:hAnsi="仿宋" w:eastAsia="仿宋"/>
          <w:b w:val="0"/>
          <w:i w:val="0"/>
          <w:caps w:val="0"/>
          <w:spacing w:val="0"/>
          <w:w w:val="100"/>
          <w:sz w:val="32"/>
          <w:szCs w:val="32"/>
          <w:highlight w:val="none"/>
          <w:lang w:val="en-US" w:eastAsia="zh-CN"/>
        </w:rPr>
        <w:t>率</w:t>
      </w:r>
      <w:r>
        <w:rPr>
          <w:rFonts w:hint="eastAsia" w:ascii="仿宋" w:hAnsi="仿宋" w:eastAsia="仿宋"/>
          <w:b w:val="0"/>
          <w:i w:val="0"/>
          <w:caps w:val="0"/>
          <w:spacing w:val="0"/>
          <w:w w:val="100"/>
          <w:sz w:val="32"/>
          <w:szCs w:val="32"/>
          <w:highlight w:val="none"/>
        </w:rPr>
        <w:t>17.34%；评审其他项目资金3个。核查一事一议项目40个（涉及一事一议专项资金577万元）。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highlight w:val="none"/>
          <w:lang w:val="en-US" w:eastAsia="zh-CN"/>
        </w:rPr>
        <w:t>五是全面实施了惠农惠民财政补贴资金“一卡通”发放机制。六是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highlight w:val="none"/>
        </w:rPr>
        <w:t>加强执纪检查。积极开展减税降费自查和新会计制度检查工作，进一步严肃了财经纪律。</w:t>
      </w:r>
    </w:p>
    <w:p w14:paraId="1F7BC742">
      <w:pPr>
        <w:pStyle w:val="2"/>
        <w:snapToGrid/>
        <w:spacing w:before="0" w:beforeAutospacing="0" w:after="120" w:afterAutospacing="0" w:line="240" w:lineRule="auto"/>
        <w:ind w:firstLine="640" w:firstLineChars="200"/>
        <w:jc w:val="both"/>
        <w:textAlignment w:val="baseline"/>
        <w:rPr>
          <w:rFonts w:ascii="Calibri" w:hAnsi="Calibri" w:eastAsia="宋体" w:cs="宋体"/>
          <w:b w:val="0"/>
          <w:i w:val="0"/>
          <w:caps w:val="0"/>
          <w:spacing w:val="0"/>
          <w:w w:val="100"/>
          <w:sz w:val="32"/>
          <w:szCs w:val="32"/>
          <w:highlight w:val="none"/>
        </w:rPr>
      </w:pPr>
      <w:r>
        <w:rPr>
          <w:rFonts w:hint="eastAsia" w:ascii="仿宋_GB2312" w:hAnsi="仿宋_GB2312" w:eastAsia="仿宋_GB2312"/>
          <w:b w:val="0"/>
          <w:i w:val="0"/>
          <w:caps w:val="0"/>
          <w:spacing w:val="0"/>
          <w:w w:val="100"/>
          <w:sz w:val="32"/>
          <w:szCs w:val="32"/>
          <w:highlight w:val="none"/>
        </w:rPr>
        <w:t>总的来看，2020</w:t>
      </w:r>
      <w:r>
        <w:rPr>
          <w:rFonts w:ascii="仿宋_GB2312" w:hAnsi="仿宋_GB2312" w:eastAsia="仿宋_GB2312"/>
          <w:b w:val="0"/>
          <w:i w:val="0"/>
          <w:caps w:val="0"/>
          <w:spacing w:val="0"/>
          <w:w w:val="100"/>
          <w:sz w:val="32"/>
          <w:szCs w:val="32"/>
          <w:highlight w:val="none"/>
        </w:rPr>
        <w:t>年财政改革发展局面良好</w:t>
      </w:r>
      <w:r>
        <w:rPr>
          <w:rFonts w:hint="eastAsia" w:ascii="仿宋_GB2312" w:hAnsi="仿宋_GB2312" w:eastAsia="仿宋_GB2312"/>
          <w:b w:val="0"/>
          <w:i w:val="0"/>
          <w:caps w:val="0"/>
          <w:spacing w:val="0"/>
          <w:w w:val="100"/>
          <w:sz w:val="32"/>
          <w:szCs w:val="32"/>
          <w:highlight w:val="none"/>
        </w:rPr>
        <w:t>，</w:t>
      </w:r>
      <w:r>
        <w:rPr>
          <w:rFonts w:ascii="仿宋_GB2312" w:hAnsi="仿宋_GB2312" w:eastAsia="仿宋_GB2312"/>
          <w:b w:val="0"/>
          <w:i w:val="0"/>
          <w:caps w:val="0"/>
          <w:spacing w:val="0"/>
          <w:w w:val="100"/>
          <w:sz w:val="32"/>
          <w:szCs w:val="32"/>
          <w:highlight w:val="none"/>
        </w:rPr>
        <w:t>财政</w:t>
      </w:r>
      <w:r>
        <w:rPr>
          <w:rFonts w:hint="eastAsia" w:ascii="仿宋_GB2312" w:hAnsi="仿宋_GB2312" w:eastAsia="仿宋_GB2312"/>
          <w:b w:val="0"/>
          <w:i w:val="0"/>
          <w:caps w:val="0"/>
          <w:spacing w:val="0"/>
          <w:w w:val="100"/>
          <w:sz w:val="32"/>
          <w:szCs w:val="32"/>
          <w:highlight w:val="none"/>
        </w:rPr>
        <w:t>收支</w:t>
      </w:r>
      <w:r>
        <w:rPr>
          <w:rFonts w:ascii="仿宋_GB2312" w:hAnsi="仿宋_GB2312" w:eastAsia="仿宋_GB2312"/>
          <w:b w:val="0"/>
          <w:i w:val="0"/>
          <w:caps w:val="0"/>
          <w:spacing w:val="0"/>
          <w:w w:val="100"/>
          <w:sz w:val="32"/>
          <w:szCs w:val="32"/>
          <w:highlight w:val="none"/>
        </w:rPr>
        <w:t>运行</w:t>
      </w:r>
      <w:r>
        <w:rPr>
          <w:rFonts w:hint="eastAsia" w:ascii="仿宋_GB2312" w:hAnsi="仿宋_GB2312" w:eastAsia="仿宋_GB2312"/>
          <w:b w:val="0"/>
          <w:i w:val="0"/>
          <w:caps w:val="0"/>
          <w:spacing w:val="0"/>
          <w:w w:val="100"/>
          <w:sz w:val="32"/>
          <w:szCs w:val="32"/>
          <w:highlight w:val="none"/>
        </w:rPr>
        <w:t>总体平稳，各项重点工作均取得了新的进展。在收获成绩的同时，</w:t>
      </w:r>
      <w:r>
        <w:rPr>
          <w:rFonts w:ascii="仿宋_GB2312" w:hAnsi="仿宋_GB2312" w:eastAsia="仿宋_GB2312"/>
          <w:b w:val="0"/>
          <w:i w:val="0"/>
          <w:caps w:val="0"/>
          <w:spacing w:val="0"/>
          <w:w w:val="100"/>
          <w:sz w:val="32"/>
          <w:szCs w:val="32"/>
          <w:highlight w:val="none"/>
        </w:rPr>
        <w:t>我们也</w:t>
      </w:r>
      <w:r>
        <w:rPr>
          <w:rFonts w:hint="eastAsia" w:ascii="仿宋_GB2312" w:hAnsi="仿宋_GB2312" w:eastAsia="仿宋_GB2312"/>
          <w:b w:val="0"/>
          <w:i w:val="0"/>
          <w:caps w:val="0"/>
          <w:spacing w:val="0"/>
          <w:w w:val="100"/>
          <w:sz w:val="32"/>
          <w:szCs w:val="32"/>
          <w:highlight w:val="none"/>
        </w:rPr>
        <w:t>应</w:t>
      </w:r>
      <w:r>
        <w:rPr>
          <w:rFonts w:ascii="仿宋_GB2312" w:hAnsi="仿宋_GB2312" w:eastAsia="仿宋_GB2312"/>
          <w:b w:val="0"/>
          <w:i w:val="0"/>
          <w:caps w:val="0"/>
          <w:spacing w:val="0"/>
          <w:w w:val="100"/>
          <w:sz w:val="32"/>
          <w:szCs w:val="32"/>
          <w:highlight w:val="none"/>
        </w:rPr>
        <w:t>清醒地认识到</w:t>
      </w:r>
      <w:r>
        <w:rPr>
          <w:rFonts w:hint="eastAsia" w:ascii="仿宋_GB2312" w:hAnsi="仿宋_GB2312" w:eastAsia="仿宋_GB2312"/>
          <w:b w:val="0"/>
          <w:i w:val="0"/>
          <w:caps w:val="0"/>
          <w:spacing w:val="0"/>
          <w:w w:val="100"/>
          <w:sz w:val="32"/>
          <w:szCs w:val="32"/>
          <w:highlight w:val="none"/>
        </w:rPr>
        <w:t>，当前</w:t>
      </w:r>
      <w:r>
        <w:rPr>
          <w:rFonts w:ascii="仿宋_GB2312" w:hAnsi="仿宋_GB2312" w:eastAsia="仿宋_GB2312"/>
          <w:b w:val="0"/>
          <w:i w:val="0"/>
          <w:caps w:val="0"/>
          <w:spacing w:val="0"/>
          <w:w w:val="100"/>
          <w:sz w:val="32"/>
          <w:szCs w:val="32"/>
          <w:highlight w:val="none"/>
        </w:rPr>
        <w:t>财政运行中还存在一些突出矛盾和问题</w:t>
      </w:r>
      <w:r>
        <w:rPr>
          <w:rFonts w:hint="eastAsia" w:ascii="仿宋_GB2312" w:hAnsi="仿宋_GB2312" w:eastAsia="仿宋_GB2312"/>
          <w:b w:val="0"/>
          <w:i w:val="0"/>
          <w:caps w:val="0"/>
          <w:spacing w:val="0"/>
          <w:w w:val="100"/>
          <w:sz w:val="32"/>
          <w:szCs w:val="32"/>
          <w:highlight w:val="none"/>
        </w:rPr>
        <w:t>。</w:t>
      </w:r>
      <w:r>
        <w:rPr>
          <w:rFonts w:hint="eastAsia" w:ascii="仿宋_GB2312" w:hAnsi="仿宋_GB2312" w:eastAsia="仿宋_GB2312"/>
          <w:b w:val="0"/>
          <w:i w:val="0"/>
          <w:caps w:val="0"/>
          <w:spacing w:val="0"/>
          <w:w w:val="100"/>
          <w:sz w:val="32"/>
          <w:szCs w:val="32"/>
          <w:highlight w:val="none"/>
          <w:lang w:val="en-US" w:eastAsia="zh-CN"/>
        </w:rPr>
        <w:t>一是</w:t>
      </w:r>
      <w:r>
        <w:rPr>
          <w:rFonts w:hint="eastAsia" w:ascii="仿宋_GB2312" w:hAnsi="仿宋_GB2312" w:eastAsia="仿宋_GB2312"/>
          <w:b w:val="0"/>
          <w:i w:val="0"/>
          <w:caps w:val="0"/>
          <w:spacing w:val="0"/>
          <w:w w:val="100"/>
          <w:sz w:val="32"/>
          <w:szCs w:val="32"/>
          <w:highlight w:val="none"/>
        </w:rPr>
        <w:t>财政困境</w:t>
      </w:r>
      <w:r>
        <w:rPr>
          <w:rFonts w:hint="eastAsia" w:ascii="仿宋_GB2312" w:hAnsi="仿宋_GB2312" w:eastAsia="仿宋_GB2312"/>
          <w:b w:val="0"/>
          <w:i w:val="0"/>
          <w:caps w:val="0"/>
          <w:spacing w:val="0"/>
          <w:w w:val="100"/>
          <w:sz w:val="32"/>
          <w:szCs w:val="32"/>
          <w:highlight w:val="none"/>
          <w:lang w:val="en-US" w:eastAsia="zh-CN"/>
        </w:rPr>
        <w:t>受</w:t>
      </w:r>
      <w:r>
        <w:rPr>
          <w:rFonts w:hint="eastAsia" w:ascii="仿宋_GB2312" w:hAnsi="仿宋_GB2312" w:eastAsia="仿宋_GB2312"/>
          <w:b w:val="0"/>
          <w:i w:val="0"/>
          <w:caps w:val="0"/>
          <w:spacing w:val="0"/>
          <w:w w:val="100"/>
          <w:sz w:val="32"/>
          <w:szCs w:val="32"/>
          <w:highlight w:val="none"/>
        </w:rPr>
        <w:t>疫情冲击收支矛盾</w:t>
      </w:r>
      <w:r>
        <w:rPr>
          <w:rFonts w:hint="eastAsia" w:ascii="仿宋_GB2312" w:hAnsi="仿宋_GB2312" w:eastAsia="仿宋_GB2312"/>
          <w:b w:val="0"/>
          <w:i w:val="0"/>
          <w:caps w:val="0"/>
          <w:spacing w:val="0"/>
          <w:w w:val="100"/>
          <w:sz w:val="32"/>
          <w:szCs w:val="32"/>
          <w:highlight w:val="none"/>
          <w:lang w:val="en-US" w:eastAsia="zh-CN"/>
        </w:rPr>
        <w:t>突出</w:t>
      </w:r>
      <w:r>
        <w:rPr>
          <w:rFonts w:hint="eastAsia" w:ascii="仿宋_GB2312" w:hAnsi="仿宋_GB2312" w:eastAsia="仿宋_GB2312"/>
          <w:b w:val="0"/>
          <w:i w:val="0"/>
          <w:caps w:val="0"/>
          <w:spacing w:val="0"/>
          <w:w w:val="100"/>
          <w:sz w:val="32"/>
          <w:szCs w:val="32"/>
          <w:highlight w:val="none"/>
        </w:rPr>
        <w:t>；</w:t>
      </w:r>
      <w:r>
        <w:rPr>
          <w:rFonts w:hint="eastAsia" w:ascii="仿宋_GB2312" w:hAnsi="仿宋_GB2312" w:eastAsia="仿宋_GB2312"/>
          <w:b w:val="0"/>
          <w:i w:val="0"/>
          <w:caps w:val="0"/>
          <w:spacing w:val="0"/>
          <w:w w:val="100"/>
          <w:sz w:val="32"/>
          <w:szCs w:val="32"/>
          <w:highlight w:val="none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highlight w:val="none"/>
          <w:shd w:val="clear" w:color="auto" w:fill="FFFFFF"/>
        </w:rPr>
        <w:t>预算编制的科学性还不够，过“紧日子”的意识还需进一步增强；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highlight w:val="none"/>
          <w:shd w:val="clear" w:color="auto" w:fill="FFFFFF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highlight w:val="none"/>
          <w:shd w:val="clear" w:color="auto" w:fill="FFFFFF"/>
        </w:rPr>
        <w:t>我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highlight w:val="none"/>
          <w:shd w:val="clear" w:color="auto" w:fill="FFFFFF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highlight w:val="none"/>
          <w:shd w:val="clear" w:color="auto" w:fill="FFFFFF"/>
        </w:rPr>
        <w:t>经济对煤炭的依赖仍难以解脱，煤价涨跌对税收的增减有着直接的影响</w:t>
      </w:r>
      <w:r>
        <w:rPr>
          <w:rFonts w:hint="eastAsia" w:ascii="仿宋_GB2312" w:hAnsi="仿宋_GB2312" w:eastAsia="仿宋_GB2312"/>
          <w:b w:val="0"/>
          <w:i w:val="0"/>
          <w:caps w:val="0"/>
          <w:spacing w:val="0"/>
          <w:w w:val="100"/>
          <w:sz w:val="32"/>
          <w:szCs w:val="32"/>
          <w:highlight w:val="none"/>
        </w:rPr>
        <w:t>；</w:t>
      </w:r>
      <w:r>
        <w:rPr>
          <w:rFonts w:hint="eastAsia" w:ascii="仿宋_GB2312" w:hAnsi="仿宋_GB2312" w:eastAsia="仿宋_GB2312"/>
          <w:b w:val="0"/>
          <w:i w:val="0"/>
          <w:caps w:val="0"/>
          <w:spacing w:val="0"/>
          <w:w w:val="100"/>
          <w:sz w:val="32"/>
          <w:szCs w:val="32"/>
          <w:highlight w:val="none"/>
          <w:lang w:val="en-US" w:eastAsia="zh-CN"/>
        </w:rPr>
        <w:t>四是</w:t>
      </w:r>
      <w:r>
        <w:rPr>
          <w:rFonts w:hint="eastAsia" w:ascii="仿宋_GB2312" w:hAnsi="仿宋_GB2312" w:eastAsia="仿宋_GB2312"/>
          <w:b w:val="0"/>
          <w:i w:val="0"/>
          <w:caps w:val="0"/>
          <w:spacing w:val="0"/>
          <w:w w:val="100"/>
          <w:sz w:val="32"/>
          <w:szCs w:val="32"/>
          <w:highlight w:val="none"/>
        </w:rPr>
        <w:t>政府债务规模逐年扩大，</w:t>
      </w:r>
      <w:r>
        <w:rPr>
          <w:rFonts w:hint="eastAsia" w:ascii="仿宋_GB2312" w:eastAsia="仿宋_GB2312"/>
          <w:b w:val="0"/>
          <w:i w:val="0"/>
          <w:caps w:val="0"/>
          <w:spacing w:val="0"/>
          <w:w w:val="100"/>
          <w:sz w:val="32"/>
          <w:szCs w:val="32"/>
          <w:highlight w:val="none"/>
          <w:lang w:val="en-US" w:eastAsia="zh-CN"/>
        </w:rPr>
        <w:t>区</w:t>
      </w:r>
      <w:r>
        <w:rPr>
          <w:rFonts w:hint="eastAsia" w:ascii="仿宋_GB2312" w:eastAsia="仿宋_GB2312"/>
          <w:b w:val="0"/>
          <w:i w:val="0"/>
          <w:caps w:val="0"/>
          <w:spacing w:val="0"/>
          <w:w w:val="100"/>
          <w:sz w:val="32"/>
          <w:szCs w:val="32"/>
          <w:highlight w:val="none"/>
        </w:rPr>
        <w:t>本级政府债务</w:t>
      </w:r>
      <w:r>
        <w:rPr>
          <w:rFonts w:hint="eastAsia" w:ascii="仿宋_GB2312" w:hAnsi="仿宋_GB2312" w:eastAsia="仿宋_GB2312"/>
          <w:b w:val="0"/>
          <w:i w:val="0"/>
          <w:caps w:val="0"/>
          <w:spacing w:val="0"/>
          <w:w w:val="100"/>
          <w:sz w:val="32"/>
          <w:szCs w:val="32"/>
          <w:highlight w:val="none"/>
        </w:rPr>
        <w:t>还本付息压力</w:t>
      </w:r>
      <w:r>
        <w:rPr>
          <w:rFonts w:hint="eastAsia" w:ascii="仿宋_GB2312" w:hAnsi="仿宋_GB2312" w:eastAsia="仿宋_GB2312"/>
          <w:b w:val="0"/>
          <w:i w:val="0"/>
          <w:caps w:val="0"/>
          <w:spacing w:val="0"/>
          <w:w w:val="100"/>
          <w:sz w:val="32"/>
          <w:szCs w:val="32"/>
          <w:highlight w:val="none"/>
          <w:lang w:val="en-US" w:eastAsia="zh-CN"/>
        </w:rPr>
        <w:t>较</w:t>
      </w:r>
      <w:r>
        <w:rPr>
          <w:rFonts w:hint="eastAsia" w:ascii="仿宋_GB2312" w:hAnsi="仿宋_GB2312" w:eastAsia="仿宋_GB2312"/>
          <w:b w:val="0"/>
          <w:i w:val="0"/>
          <w:caps w:val="0"/>
          <w:spacing w:val="0"/>
          <w:w w:val="100"/>
          <w:sz w:val="32"/>
          <w:szCs w:val="32"/>
          <w:highlight w:val="none"/>
        </w:rPr>
        <w:t>大等等</w:t>
      </w:r>
      <w:r>
        <w:rPr>
          <w:rFonts w:hint="eastAsia" w:ascii="仿宋_GB2312" w:eastAsia="仿宋_GB2312"/>
          <w:b w:val="0"/>
          <w:i w:val="0"/>
          <w:caps w:val="0"/>
          <w:spacing w:val="0"/>
          <w:w w:val="100"/>
          <w:sz w:val="32"/>
          <w:szCs w:val="32"/>
          <w:highlight w:val="none"/>
        </w:rPr>
        <w:t>。</w:t>
      </w:r>
      <w:r>
        <w:rPr>
          <w:rFonts w:hint="eastAsia" w:ascii="仿宋_GB2312" w:hAnsi="仿宋_GB2312" w:eastAsia="仿宋_GB2312"/>
          <w:b w:val="0"/>
          <w:i w:val="0"/>
          <w:caps w:val="0"/>
          <w:spacing w:val="0"/>
          <w:w w:val="100"/>
          <w:sz w:val="32"/>
          <w:szCs w:val="32"/>
          <w:highlight w:val="none"/>
        </w:rPr>
        <w:t>我们要高度重视这些问题，并积极采取措施认真加以解决，也恳请各位代表、委员一如既往地对财政工作给予指导和支持。</w:t>
      </w:r>
    </w:p>
    <w:p w14:paraId="4D3C4EE9">
      <w:pPr>
        <w:snapToGrid/>
        <w:spacing w:before="0" w:beforeAutospacing="0" w:after="0" w:afterAutospacing="0" w:line="660" w:lineRule="exact"/>
        <w:ind w:firstLine="640" w:firstLineChars="200"/>
        <w:jc w:val="both"/>
        <w:textAlignment w:val="baseline"/>
        <w:rPr>
          <w:rFonts w:ascii="黑体" w:hAnsi="仿宋" w:eastAsia="黑体" w:cs="Calibri"/>
          <w:b w:val="0"/>
          <w:i w:val="0"/>
          <w:caps w:val="0"/>
          <w:spacing w:val="0"/>
          <w:w w:val="100"/>
          <w:sz w:val="32"/>
          <w:szCs w:val="32"/>
          <w:highlight w:val="none"/>
        </w:rPr>
      </w:pPr>
      <w:r>
        <w:rPr>
          <w:rFonts w:hint="eastAsia" w:ascii="黑体" w:hAnsi="仿宋" w:eastAsia="黑体" w:cs="Calibri"/>
          <w:b w:val="0"/>
          <w:i w:val="0"/>
          <w:caps w:val="0"/>
          <w:spacing w:val="0"/>
          <w:w w:val="100"/>
          <w:sz w:val="32"/>
          <w:szCs w:val="32"/>
          <w:highlight w:val="none"/>
        </w:rPr>
        <w:t>三、202</w:t>
      </w:r>
      <w:r>
        <w:rPr>
          <w:rFonts w:hint="eastAsia" w:ascii="黑体" w:hAnsi="仿宋" w:eastAsia="黑体" w:cs="Calibri"/>
          <w:b w:val="0"/>
          <w:i w:val="0"/>
          <w:caps w:val="0"/>
          <w:spacing w:val="0"/>
          <w:w w:val="10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黑体" w:hAnsi="仿宋" w:eastAsia="黑体" w:cs="Calibri"/>
          <w:b w:val="0"/>
          <w:i w:val="0"/>
          <w:caps w:val="0"/>
          <w:spacing w:val="0"/>
          <w:w w:val="100"/>
          <w:sz w:val="32"/>
          <w:szCs w:val="32"/>
          <w:highlight w:val="none"/>
        </w:rPr>
        <w:t>年预算（草案）</w:t>
      </w:r>
    </w:p>
    <w:p w14:paraId="48A174B0">
      <w:pPr>
        <w:keepLines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 w:color="auto" w:fill="auto"/>
        <w:snapToGrid w:val="0"/>
        <w:spacing w:before="0" w:beforeAutospacing="0" w:after="0" w:afterAutospacing="0" w:line="600" w:lineRule="exact"/>
        <w:ind w:firstLine="640" w:firstLineChars="200"/>
        <w:jc w:val="both"/>
        <w:textAlignment w:val="baseline"/>
        <w:rPr>
          <w:rFonts w:hint="eastAsia" w:ascii="楷体_GB2312" w:hAnsi="ˎ̥" w:eastAsia="楷体_GB2312" w:cs="宋体"/>
          <w:b w:val="0"/>
          <w:i w:val="0"/>
          <w:caps w:val="0"/>
          <w:spacing w:val="0"/>
          <w:w w:val="100"/>
          <w:kern w:val="0"/>
          <w:sz w:val="32"/>
          <w:szCs w:val="32"/>
          <w:highlight w:val="none"/>
        </w:rPr>
      </w:pPr>
      <w:r>
        <w:rPr>
          <w:rFonts w:hint="eastAsia" w:ascii="楷体_GB2312" w:hAnsi="ˎ̥" w:eastAsia="楷体_GB2312" w:cs="宋体"/>
          <w:b w:val="0"/>
          <w:i w:val="0"/>
          <w:caps w:val="0"/>
          <w:spacing w:val="0"/>
          <w:w w:val="100"/>
          <w:kern w:val="0"/>
          <w:sz w:val="32"/>
          <w:szCs w:val="32"/>
          <w:highlight w:val="none"/>
        </w:rPr>
        <w:t>（一）202</w:t>
      </w:r>
      <w:r>
        <w:rPr>
          <w:rFonts w:hint="eastAsia" w:ascii="楷体_GB2312" w:hAnsi="ˎ̥" w:eastAsia="楷体_GB2312" w:cs="宋体"/>
          <w:b w:val="0"/>
          <w:i w:val="0"/>
          <w:caps w:val="0"/>
          <w:spacing w:val="0"/>
          <w:w w:val="100"/>
          <w:kern w:val="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楷体_GB2312" w:hAnsi="ˎ̥" w:eastAsia="楷体_GB2312" w:cs="宋体"/>
          <w:b w:val="0"/>
          <w:i w:val="0"/>
          <w:caps w:val="0"/>
          <w:spacing w:val="0"/>
          <w:w w:val="100"/>
          <w:kern w:val="0"/>
          <w:sz w:val="32"/>
          <w:szCs w:val="32"/>
          <w:highlight w:val="none"/>
        </w:rPr>
        <w:t>年预算安排总体原则</w:t>
      </w:r>
    </w:p>
    <w:p w14:paraId="12648557">
      <w:pPr>
        <w:keepLines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 w:color="auto" w:fill="auto"/>
        <w:snapToGrid w:val="0"/>
        <w:spacing w:before="0" w:beforeAutospacing="0" w:after="0" w:afterAutospacing="0" w:line="600" w:lineRule="exact"/>
        <w:ind w:firstLine="643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color w:val="FF0000"/>
          <w:spacing w:val="0"/>
          <w:w w:val="1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spacing w:val="0"/>
          <w:w w:val="100"/>
          <w:sz w:val="32"/>
          <w:szCs w:val="32"/>
          <w:highlight w:val="none"/>
        </w:rPr>
        <w:t>一是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highlight w:val="none"/>
        </w:rPr>
        <w:t>收入预算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highlight w:val="none"/>
          <w:lang w:val="en-US" w:eastAsia="zh-CN"/>
        </w:rPr>
        <w:t>编制要坚持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highlight w:val="none"/>
        </w:rPr>
        <w:t>实事求是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highlight w:val="none"/>
          <w:lang w:val="en-US" w:eastAsia="zh-CN"/>
        </w:rPr>
        <w:t>的原则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highlight w:val="none"/>
        </w:rPr>
        <w:t>。充分考虑经济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highlight w:val="none"/>
          <w:lang w:val="en-US" w:eastAsia="zh-CN"/>
        </w:rPr>
        <w:t>启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highlight w:val="none"/>
        </w:rPr>
        <w:t>稳向好、减税降费和“放管服效”改革效果，科学合理制定收入计划。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spacing w:val="0"/>
          <w:w w:val="100"/>
          <w:sz w:val="32"/>
          <w:szCs w:val="32"/>
          <w:highlight w:val="none"/>
        </w:rPr>
        <w:t>二是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highlight w:val="none"/>
        </w:rPr>
        <w:t>支出预算要坚持“紧日子、保基本、调结构、保战略”的方针。继续压缩一般性支出和“三公”经费预算，严格落实过“紧日子”要求。加强实施零基预算，在保障“三保”基本支出的前提下，突出保战略，集中财力办大事。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spacing w:val="0"/>
          <w:w w:val="100"/>
          <w:sz w:val="32"/>
          <w:szCs w:val="32"/>
          <w:highlight w:val="none"/>
        </w:rPr>
        <w:t>三是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highlight w:val="none"/>
        </w:rPr>
        <w:t>落实积极的财政政策。加强财政资源统筹，积极向上争取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highlight w:val="none"/>
          <w:lang w:val="en-US" w:eastAsia="zh-CN"/>
        </w:rPr>
        <w:t>项目。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spacing w:val="0"/>
          <w:w w:val="100"/>
          <w:sz w:val="32"/>
          <w:szCs w:val="32"/>
          <w:highlight w:val="none"/>
        </w:rPr>
        <w:t>四是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highlight w:val="none"/>
        </w:rPr>
        <w:t>防范化解政府债务风险。积极化解隐性债务存量，坚决遏制隐性债务增量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spacing w:val="0"/>
          <w:w w:val="100"/>
          <w:sz w:val="32"/>
          <w:szCs w:val="32"/>
          <w:highlight w:val="none"/>
        </w:rPr>
        <w:t>五是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highlight w:val="none"/>
        </w:rPr>
        <w:t>加强预算信息化建设和预算绩效管理。通过上线运行预算管理一体化系统，实现对财政资金“横向到边、纵向到底”的全流程监控，将绩效管理深度融入预算编制、执行、监督全过程，加强绩效目标管理、绩效运行监控和绩效评价结果运用，大力削减或取消低效无效支出，提高财政资金配置效率和使用效益。</w:t>
      </w:r>
    </w:p>
    <w:p w14:paraId="1C3299B2">
      <w:pPr>
        <w:snapToGrid/>
        <w:spacing w:before="0" w:beforeAutospacing="0" w:after="0" w:afterAutospacing="0" w:line="660" w:lineRule="exact"/>
        <w:ind w:firstLine="643" w:firstLineChars="200"/>
        <w:jc w:val="both"/>
        <w:textAlignment w:val="baseline"/>
        <w:rPr>
          <w:rFonts w:ascii="楷体_GB2312" w:hAnsi="楷体_GB2312" w:eastAsia="楷体_GB2312" w:cs="楷体_GB2312"/>
          <w:b/>
          <w:bCs/>
          <w:i w:val="0"/>
          <w:caps w:val="0"/>
          <w:color w:val="000000"/>
          <w:spacing w:val="0"/>
          <w:w w:val="10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（</w:t>
      </w:r>
      <w:r>
        <w:rPr>
          <w:rFonts w:hint="eastAsia" w:ascii="楷体_GB2312" w:hAnsi="楷体_GB2312" w:eastAsia="楷体_GB2312" w:cs="楷体_GB2312"/>
          <w:b/>
          <w:bCs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b/>
          <w:bCs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）一般公共预算收支情况</w:t>
      </w:r>
    </w:p>
    <w:p w14:paraId="3D795F23">
      <w:pPr>
        <w:snapToGrid/>
        <w:spacing w:before="0" w:beforeAutospacing="0" w:after="0" w:afterAutospacing="0" w:line="660" w:lineRule="exact"/>
        <w:ind w:firstLine="660"/>
        <w:jc w:val="both"/>
        <w:textAlignment w:val="baseline"/>
        <w:rPr>
          <w:rFonts w:ascii="仿宋_GB2312" w:hAnsi="仿宋" w:eastAsia="仿宋_GB2312" w:cs="Calibri"/>
          <w:b/>
          <w:bCs/>
          <w:i w:val="0"/>
          <w:caps w:val="0"/>
          <w:color w:val="000000"/>
          <w:spacing w:val="0"/>
          <w:w w:val="100"/>
          <w:sz w:val="32"/>
          <w:szCs w:val="32"/>
          <w:highlight w:val="none"/>
        </w:rPr>
      </w:pPr>
      <w:r>
        <w:rPr>
          <w:rFonts w:hint="eastAsia" w:ascii="仿宋_GB2312" w:hAnsi="仿宋" w:eastAsia="仿宋_GB2312" w:cs="Calibri"/>
          <w:b/>
          <w:bCs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1、一般公共预算收入</w:t>
      </w:r>
    </w:p>
    <w:p w14:paraId="5EAF9CB4">
      <w:pPr>
        <w:snapToGrid/>
        <w:spacing w:before="0" w:beforeAutospacing="0" w:after="0" w:afterAutospacing="0" w:line="660" w:lineRule="exact"/>
        <w:ind w:firstLine="640" w:firstLineChars="200"/>
        <w:jc w:val="both"/>
        <w:textAlignment w:val="baseline"/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eastAsia="zh-CN"/>
        </w:rPr>
      </w:pP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（1）202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年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区本级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一般公共预算收入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计划完成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77500万元，同比增长5.03%。其中：税收收入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70500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万元，同比增长46.11%。非税收入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7000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万元，同比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eastAsia="zh-CN"/>
        </w:rPr>
        <w:t>下降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72.59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%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(降幅较大原因是去年非即期收入较多)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eastAsia="zh-CN"/>
        </w:rPr>
        <w:t>。</w:t>
      </w:r>
    </w:p>
    <w:p w14:paraId="07A0D40E">
      <w:pPr>
        <w:snapToGrid/>
        <w:spacing w:before="0" w:beforeAutospacing="0" w:after="0" w:afterAutospacing="0" w:line="660" w:lineRule="exact"/>
        <w:ind w:firstLine="640" w:firstLineChars="200"/>
        <w:jc w:val="both"/>
        <w:textAlignment w:val="baseline"/>
        <w:rPr>
          <w:rFonts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</w:pP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税收收入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70500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万元，其中：增值税2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4000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万元，同比增长39.66%；企业所得税3700万元，同比增长103.4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%；个人所得税1500万元，同比增长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90.11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%；资源税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5500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万元，同比增长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70.07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%；城市维护建设税5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500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万元，同比增长2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6.82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%；房产税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3300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万元，同比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eastAsia="zh-CN"/>
        </w:rPr>
        <w:t>增长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52.78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%；印花税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2500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万元，同比增长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89.83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%；城镇土地使用税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6500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万元，同比增长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26.09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%；土地增值税5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500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万元，同比增长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34.41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%；车船税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4500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万元，同比增长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27.05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%；耕地占用税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1800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万元，同比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eastAsia="zh-CN"/>
        </w:rPr>
        <w:t>增长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86.53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%；契税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5500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万元，同比增长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60.35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%；环境保护税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700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万元，同比增长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208.37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%。</w:t>
      </w:r>
    </w:p>
    <w:p w14:paraId="5239A3FC">
      <w:pPr>
        <w:snapToGrid/>
        <w:spacing w:before="0" w:beforeAutospacing="0" w:after="0" w:afterAutospacing="0" w:line="660" w:lineRule="exact"/>
        <w:jc w:val="both"/>
        <w:textAlignment w:val="baseline"/>
        <w:rPr>
          <w:rFonts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</w:pP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 xml:space="preserve">  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非税收入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7000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万元，其中：专项收入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3500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万元，同比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eastAsia="zh-CN"/>
        </w:rPr>
        <w:t>增长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14.83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%；行政事业性收费收入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260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万元，同比下降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95.7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%；罚没收入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1500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万元，同比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eastAsia="zh-CN"/>
        </w:rPr>
        <w:t>下降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2.53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%；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eastAsia="zh-CN"/>
        </w:rPr>
        <w:t>国有资源（资产）有偿使用收入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1600万元，同比下降89.18%；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政府住房基金收入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140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万元，同比增长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23.89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%。</w:t>
      </w:r>
    </w:p>
    <w:p w14:paraId="7487B688">
      <w:pPr>
        <w:snapToGrid/>
        <w:spacing w:before="0" w:beforeAutospacing="0" w:after="0" w:afterAutospacing="0" w:line="660" w:lineRule="exact"/>
        <w:ind w:firstLine="640" w:firstLineChars="200"/>
        <w:jc w:val="both"/>
        <w:textAlignment w:val="baseline"/>
        <w:rPr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</w:pP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上级转移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性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支付收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入118695万元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。</w:t>
      </w:r>
    </w:p>
    <w:p w14:paraId="69A2FDBD">
      <w:pPr>
        <w:snapToGrid/>
        <w:spacing w:before="0" w:beforeAutospacing="0" w:after="0" w:afterAutospacing="0" w:line="660" w:lineRule="exact"/>
        <w:ind w:firstLine="640" w:firstLineChars="200"/>
        <w:jc w:val="both"/>
        <w:textAlignment w:val="baseline"/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eastAsia="zh-CN"/>
        </w:rPr>
      </w:pP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eastAsia="zh-CN"/>
        </w:rPr>
        <w:t>（3）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收回存量资金7839万元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eastAsia="zh-CN"/>
        </w:rPr>
        <w:t>。</w:t>
      </w:r>
    </w:p>
    <w:p w14:paraId="31E514A6">
      <w:pPr>
        <w:snapToGrid/>
        <w:spacing w:before="0" w:beforeAutospacing="0" w:after="0" w:afterAutospacing="0" w:line="660" w:lineRule="exact"/>
        <w:ind w:firstLine="640" w:firstLineChars="200"/>
        <w:jc w:val="both"/>
        <w:textAlignment w:val="baseline"/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eastAsia="zh-CN"/>
        </w:rPr>
      </w:pP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eastAsia="zh-CN"/>
        </w:rPr>
        <w:t>（4）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有明确用途的转移支付资金43678万元，其中：上年结转专项转移支付12471万元，当年一般性转移支付29881万元，专项转移支付1326万元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eastAsia="zh-CN"/>
        </w:rPr>
        <w:t>。</w:t>
      </w:r>
    </w:p>
    <w:p w14:paraId="0C2198C9">
      <w:pPr>
        <w:snapToGrid/>
        <w:spacing w:before="0" w:beforeAutospacing="0" w:after="0" w:afterAutospacing="0" w:line="660" w:lineRule="exact"/>
        <w:ind w:firstLine="800" w:firstLineChars="250"/>
        <w:jc w:val="both"/>
        <w:textAlignment w:val="baseline"/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收入总计247712万元</w:t>
      </w:r>
    </w:p>
    <w:p w14:paraId="0CED1B5E">
      <w:pPr>
        <w:numPr>
          <w:ilvl w:val="0"/>
          <w:numId w:val="0"/>
        </w:numPr>
        <w:snapToGrid/>
        <w:spacing w:before="0" w:beforeAutospacing="0" w:after="0" w:afterAutospacing="0" w:line="660" w:lineRule="exact"/>
        <w:ind w:firstLine="643" w:firstLineChars="200"/>
        <w:jc w:val="both"/>
        <w:textAlignment w:val="baseline"/>
        <w:rPr>
          <w:rFonts w:hint="eastAsia" w:ascii="仿宋_GB2312" w:hAnsi="仿宋" w:eastAsia="仿宋_GB2312" w:cs="Calibri"/>
          <w:b/>
          <w:bCs/>
          <w:i w:val="0"/>
          <w:caps w:val="0"/>
          <w:color w:val="000000"/>
          <w:spacing w:val="0"/>
          <w:w w:val="100"/>
          <w:sz w:val="32"/>
          <w:szCs w:val="32"/>
          <w:highlight w:val="none"/>
        </w:rPr>
      </w:pPr>
      <w:r>
        <w:rPr>
          <w:rFonts w:hint="eastAsia" w:ascii="仿宋_GB2312" w:hAnsi="仿宋" w:eastAsia="仿宋_GB2312" w:cs="Calibri"/>
          <w:b/>
          <w:bCs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2、</w:t>
      </w:r>
      <w:r>
        <w:rPr>
          <w:rFonts w:hint="eastAsia" w:ascii="仿宋_GB2312" w:hAnsi="仿宋" w:eastAsia="仿宋_GB2312" w:cs="Calibri"/>
          <w:b/>
          <w:bCs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一般公共预算支出</w:t>
      </w:r>
    </w:p>
    <w:p w14:paraId="0391569A">
      <w:pPr>
        <w:numPr>
          <w:ilvl w:val="0"/>
          <w:numId w:val="2"/>
        </w:numPr>
        <w:snapToGrid/>
        <w:spacing w:before="0" w:beforeAutospacing="0" w:after="0" w:afterAutospacing="0" w:line="660" w:lineRule="exact"/>
        <w:ind w:firstLine="640" w:firstLineChars="200"/>
        <w:jc w:val="both"/>
        <w:textAlignment w:val="baseline"/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上解支出16641万元。</w:t>
      </w:r>
    </w:p>
    <w:p w14:paraId="6507D036">
      <w:pPr>
        <w:snapToGrid/>
        <w:spacing w:before="0" w:beforeAutospacing="0" w:after="0" w:afterAutospacing="0" w:line="660" w:lineRule="exact"/>
        <w:ind w:firstLine="640" w:firstLineChars="200"/>
        <w:jc w:val="both"/>
        <w:textAlignment w:val="baseline"/>
        <w:rPr>
          <w:rFonts w:hint="eastAsia" w:ascii="仿宋_GB2312" w:hAnsi="仿宋" w:eastAsia="仿宋_GB2312" w:cs="Calibri"/>
          <w:b w:val="0"/>
          <w:i w:val="0"/>
          <w:caps w:val="0"/>
          <w:color w:val="0000FF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（2）有明确用途的转移性支付资金43678万元。分别是：一般公共服务支出91万元；公共安全支出2万元；教育支出9551万元；科学技术支出19万元；文化旅游体育与传媒支出565万元；社会保障和就业支出19127万元；卫生健康支出5003万元；节能环保支出270万元；农林水支出3263万元；交通运输支出1722万元；住房保障支出3387万元；灾害防治及应急管理支出341万元；其他支出（类）337万元。</w:t>
      </w:r>
    </w:p>
    <w:p w14:paraId="1D8B1E01">
      <w:pPr>
        <w:snapToGrid/>
        <w:spacing w:before="0" w:beforeAutospacing="0" w:after="0" w:afterAutospacing="0" w:line="660" w:lineRule="exact"/>
        <w:ind w:firstLine="640" w:firstLineChars="200"/>
        <w:jc w:val="both"/>
        <w:textAlignment w:val="baseline"/>
        <w:rPr>
          <w:rFonts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</w:pP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（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）202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年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eastAsia="zh-CN"/>
        </w:rPr>
        <w:t>区本级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一般公共预算支出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187393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万元，同比增长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14.50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%。</w:t>
      </w:r>
    </w:p>
    <w:p w14:paraId="0FEC3DE0">
      <w:pPr>
        <w:snapToGrid/>
        <w:spacing w:before="0" w:beforeAutospacing="0" w:after="0" w:afterAutospacing="0" w:line="660" w:lineRule="exact"/>
        <w:ind w:firstLine="640"/>
        <w:jc w:val="both"/>
        <w:textAlignment w:val="baseline"/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①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按功能科目分类：一般公共服务支出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29454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万元，同比增长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14.5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%；国防支出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210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万元，同比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eastAsia="zh-CN"/>
        </w:rPr>
        <w:t>增长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72.13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%；公共安全支出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1904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万元，同比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eastAsia="zh-CN"/>
        </w:rPr>
        <w:t>下降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7.8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%；教育支出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47198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万元，同比增长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3.92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%；科学技术支出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121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万元，同比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eastAsia="zh-CN"/>
        </w:rPr>
        <w:t>下降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33.15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%；文化旅游体育与传媒支出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1883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万元，同比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eastAsia="zh-CN"/>
        </w:rPr>
        <w:t>增长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11.49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%；社会保障和就业支出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19423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万元，同比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eastAsia="zh-CN"/>
        </w:rPr>
        <w:t>增长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9.57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%；卫生健康支出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15875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万元，同比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eastAsia="zh-CN"/>
        </w:rPr>
        <w:t>增长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28.17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%；节能环保支出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2106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万元，同比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eastAsia="zh-CN"/>
        </w:rPr>
        <w:t>增长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137.97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%；城乡社区支出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12409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万元，同比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eastAsia="zh-CN"/>
        </w:rPr>
        <w:t>下降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6.95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%；农林水支出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24800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万元，同比增长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31.52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%；交通运输支出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2740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万元，同比增长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29.86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%；资源勘探信息等支出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955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万元，同比增长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63.25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%；商品服务业等支出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329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万元，同比增长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20.96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%；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eastAsia="zh-CN"/>
        </w:rPr>
        <w:t>金融支出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1000万元；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自然资源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eastAsia="zh-CN"/>
        </w:rPr>
        <w:t>海洋气象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等支出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3725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万元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同比增长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9.59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%；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eastAsia="zh-CN"/>
        </w:rPr>
        <w:t>住房保障支出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2357万元，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同比增长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20.87%；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粮油物资储备支出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490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万元，同比下降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3.73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%；灾害防治及应急管理支出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1844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万元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同比下降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26.53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%；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eastAsia="zh-CN"/>
        </w:rPr>
        <w:t>其他支出（类）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12000万元，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同比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eastAsia="zh-CN"/>
        </w:rPr>
        <w:t>增长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104.57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%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；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债务还本支出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万元；债务付息支出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1563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万元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同比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eastAsia="zh-CN"/>
        </w:rPr>
        <w:t>增长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33.36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%；预备费5000万元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eastAsia="zh-CN"/>
        </w:rPr>
        <w:t>。</w:t>
      </w:r>
    </w:p>
    <w:p w14:paraId="65A77E5A">
      <w:pPr>
        <w:snapToGrid/>
        <w:spacing w:before="0" w:beforeAutospacing="0" w:after="0" w:afterAutospacing="0" w:line="660" w:lineRule="exact"/>
        <w:ind w:firstLine="640" w:firstLineChars="200"/>
        <w:jc w:val="both"/>
        <w:textAlignment w:val="baseline"/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②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按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eastAsia="zh-CN"/>
        </w:rPr>
        <w:t>支出类别分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：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eastAsia="zh-CN"/>
        </w:rPr>
        <w:t>人员类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支出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79519.69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万元；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eastAsia="zh-CN"/>
        </w:rPr>
        <w:t>运转类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支出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12276.77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万元；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民生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支出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42221.82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万元；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项目支出29937.88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万元；财政预留资金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23436.84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万元。</w:t>
      </w:r>
    </w:p>
    <w:p w14:paraId="477479A7">
      <w:pPr>
        <w:snapToGrid/>
        <w:spacing w:before="0" w:beforeAutospacing="0" w:after="0" w:afterAutospacing="0" w:line="660" w:lineRule="exact"/>
        <w:ind w:firstLine="800" w:firstLineChars="250"/>
        <w:jc w:val="both"/>
        <w:textAlignment w:val="baseline"/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支出总计247712万元</w:t>
      </w:r>
    </w:p>
    <w:p w14:paraId="2316CC5D">
      <w:pPr>
        <w:snapToGrid/>
        <w:spacing w:before="0" w:beforeAutospacing="0" w:after="0" w:afterAutospacing="0" w:line="660" w:lineRule="exact"/>
        <w:ind w:firstLine="643" w:firstLineChars="200"/>
        <w:jc w:val="both"/>
        <w:textAlignment w:val="baseline"/>
        <w:rPr>
          <w:rFonts w:ascii="仿宋_GB2312" w:hAnsi="仿宋" w:eastAsia="仿宋_GB2312" w:cs="Calibri"/>
          <w:b/>
          <w:bCs/>
          <w:i w:val="0"/>
          <w:caps w:val="0"/>
          <w:color w:val="000000"/>
          <w:spacing w:val="0"/>
          <w:w w:val="100"/>
          <w:sz w:val="32"/>
          <w:szCs w:val="32"/>
          <w:highlight w:val="none"/>
        </w:rPr>
      </w:pPr>
      <w:r>
        <w:rPr>
          <w:rFonts w:hint="eastAsia" w:ascii="仿宋_GB2312" w:hAnsi="仿宋" w:eastAsia="仿宋_GB2312" w:cs="Calibri"/>
          <w:b/>
          <w:bCs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3、三公经费预算情况</w:t>
      </w:r>
    </w:p>
    <w:p w14:paraId="169EF2DE">
      <w:pPr>
        <w:snapToGrid/>
        <w:spacing w:before="0" w:beforeAutospacing="0" w:after="0" w:afterAutospacing="0" w:line="660" w:lineRule="exact"/>
        <w:jc w:val="both"/>
        <w:textAlignment w:val="baseline"/>
        <w:rPr>
          <w:rFonts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</w:pPr>
      <w:r>
        <w:rPr>
          <w:rFonts w:hint="eastAsia" w:ascii="仿宋_GB2312" w:hAnsi="仿宋" w:eastAsia="仿宋_GB2312" w:cs="Calibri"/>
          <w:b/>
          <w:bCs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 xml:space="preserve">   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 xml:space="preserve"> 202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年全区行政事业单位和其他单位的“三公”经费预算支出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708.97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万元，同比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eastAsia="zh-CN"/>
        </w:rPr>
        <w:t>下降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10.15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%。其中：公务接待费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347.4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万元，同比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eastAsia="zh-CN"/>
        </w:rPr>
        <w:t>下降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10.1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%；公务用车运行维护费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261.17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万元，同比下降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30.35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%；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eastAsia="zh-CN"/>
        </w:rPr>
        <w:t>公车购置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4辆90.4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万元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同比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增长100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%；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eastAsia="zh-CN"/>
        </w:rPr>
        <w:t>因公出国（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境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10万元，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同比下降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41.18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%。</w:t>
      </w:r>
    </w:p>
    <w:p w14:paraId="35FF7772">
      <w:pPr>
        <w:snapToGrid/>
        <w:spacing w:before="0" w:beforeAutospacing="0" w:after="0" w:afterAutospacing="0" w:line="660" w:lineRule="exact"/>
        <w:jc w:val="both"/>
        <w:textAlignment w:val="baseline"/>
        <w:rPr>
          <w:rFonts w:ascii="楷体_GB2312" w:hAnsi="楷体_GB2312" w:eastAsia="楷体_GB2312" w:cs="楷体_GB2312"/>
          <w:b/>
          <w:bCs/>
          <w:i w:val="0"/>
          <w:caps w:val="0"/>
          <w:color w:val="000000"/>
          <w:spacing w:val="0"/>
          <w:w w:val="10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i w:val="0"/>
          <w:caps w:val="0"/>
          <w:color w:val="ED7D31" w:themeColor="accent2"/>
          <w:spacing w:val="0"/>
          <w:w w:val="100"/>
          <w:sz w:val="32"/>
          <w:szCs w:val="32"/>
          <w:highlight w:val="none"/>
          <w14:textFill>
            <w14:solidFill>
              <w14:schemeClr w14:val="accent2"/>
            </w14:solidFill>
          </w14:textFill>
        </w:rPr>
        <w:t xml:space="preserve">  </w:t>
      </w:r>
      <w:r>
        <w:rPr>
          <w:rFonts w:hint="eastAsia" w:ascii="楷体_GB2312" w:hAnsi="楷体_GB2312" w:eastAsia="楷体_GB2312" w:cs="楷体_GB2312"/>
          <w:b/>
          <w:bCs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 xml:space="preserve"> （</w:t>
      </w:r>
      <w:r>
        <w:rPr>
          <w:rFonts w:hint="eastAsia" w:ascii="楷体_GB2312" w:hAnsi="楷体_GB2312" w:eastAsia="楷体_GB2312" w:cs="楷体_GB2312"/>
          <w:b/>
          <w:bCs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楷体_GB2312" w:hAnsi="楷体_GB2312" w:eastAsia="楷体_GB2312" w:cs="楷体_GB2312"/>
          <w:b/>
          <w:bCs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）政府性基金预算收支情况</w:t>
      </w:r>
    </w:p>
    <w:p w14:paraId="577D60F4">
      <w:pPr>
        <w:snapToGrid/>
        <w:spacing w:before="0" w:beforeAutospacing="0" w:after="0" w:afterAutospacing="0" w:line="660" w:lineRule="exact"/>
        <w:ind w:firstLine="643" w:firstLineChars="200"/>
        <w:jc w:val="both"/>
        <w:textAlignment w:val="baseline"/>
        <w:rPr>
          <w:rFonts w:hint="eastAsia" w:ascii="仿宋_GB2312" w:hAnsi="仿宋" w:eastAsia="仿宋_GB2312" w:cs="Calibri"/>
          <w:b/>
          <w:bCs/>
          <w:i w:val="0"/>
          <w:caps w:val="0"/>
          <w:color w:val="000000"/>
          <w:spacing w:val="0"/>
          <w:w w:val="100"/>
          <w:sz w:val="32"/>
          <w:szCs w:val="32"/>
          <w:highlight w:val="none"/>
        </w:rPr>
      </w:pPr>
      <w:r>
        <w:rPr>
          <w:rFonts w:hint="eastAsia" w:ascii="仿宋_GB2312" w:hAnsi="仿宋" w:eastAsia="仿宋_GB2312" w:cs="Calibri"/>
          <w:b/>
          <w:bCs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 xml:space="preserve"> 1、收入情况</w:t>
      </w:r>
    </w:p>
    <w:p w14:paraId="263DB3D7">
      <w:pPr>
        <w:pStyle w:val="2"/>
        <w:snapToGrid/>
        <w:spacing w:before="0" w:beforeAutospacing="0" w:after="120" w:afterAutospacing="0" w:line="240" w:lineRule="auto"/>
        <w:ind w:firstLine="320" w:firstLineChars="100"/>
        <w:jc w:val="both"/>
        <w:textAlignment w:val="baseline"/>
        <w:rPr>
          <w:rFonts w:hint="eastAsia" w:ascii="仿宋_GB2312" w:hAnsi="仿宋" w:eastAsia="仿宋_GB2312" w:cs="Calibri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 w:cs="Calibri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" w:eastAsia="仿宋_GB2312" w:cs="Calibri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" w:eastAsia="仿宋_GB2312" w:cs="Calibri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eastAsia="zh-CN"/>
        </w:rPr>
        <w:t>）上年结余</w:t>
      </w:r>
      <w:r>
        <w:rPr>
          <w:rFonts w:hint="eastAsia" w:ascii="仿宋_GB2312" w:hAnsi="仿宋" w:eastAsia="仿宋_GB2312" w:cs="Calibri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11959万元</w:t>
      </w:r>
    </w:p>
    <w:p w14:paraId="369EEDE7">
      <w:pPr>
        <w:pStyle w:val="2"/>
        <w:snapToGrid/>
        <w:spacing w:before="0" w:beforeAutospacing="0" w:after="120" w:afterAutospacing="0" w:line="240" w:lineRule="auto"/>
        <w:ind w:firstLine="320" w:firstLineChars="100"/>
        <w:jc w:val="both"/>
        <w:textAlignment w:val="baseline"/>
        <w:rPr>
          <w:rFonts w:hint="eastAsia" w:ascii="仿宋_GB2312" w:hAnsi="仿宋" w:eastAsia="仿宋_GB2312" w:cs="Calibri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 w:cs="Calibri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（2）本年收入22028万元</w:t>
      </w:r>
    </w:p>
    <w:p w14:paraId="7EC32700">
      <w:pPr>
        <w:pStyle w:val="2"/>
        <w:snapToGrid/>
        <w:spacing w:before="0" w:beforeAutospacing="0" w:after="120" w:afterAutospacing="0" w:line="240" w:lineRule="auto"/>
        <w:ind w:firstLine="640" w:firstLineChars="200"/>
        <w:jc w:val="both"/>
        <w:textAlignment w:val="baseline"/>
        <w:rPr>
          <w:rFonts w:hint="eastAsia" w:ascii="仿宋_GB2312" w:hAnsi="仿宋" w:eastAsia="仿宋_GB2312" w:cs="Calibri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</w:pPr>
      <w:r>
        <w:rPr>
          <w:rFonts w:hint="eastAsia" w:ascii="仿宋_GB2312" w:hAnsi="仿宋" w:eastAsia="仿宋_GB2312" w:cs="Calibri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202</w:t>
      </w:r>
      <w:r>
        <w:rPr>
          <w:rFonts w:hint="eastAsia" w:ascii="仿宋_GB2312" w:hAnsi="仿宋" w:eastAsia="仿宋_GB2312" w:cs="Calibri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" w:eastAsia="仿宋_GB2312" w:cs="Calibri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年全区政府性基金收入</w:t>
      </w:r>
      <w:r>
        <w:rPr>
          <w:rFonts w:hint="eastAsia" w:ascii="仿宋_GB2312" w:hAnsi="仿宋" w:eastAsia="仿宋_GB2312" w:cs="Calibri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22028</w:t>
      </w:r>
      <w:r>
        <w:rPr>
          <w:rFonts w:hint="eastAsia" w:ascii="仿宋_GB2312" w:hAnsi="仿宋" w:eastAsia="仿宋_GB2312" w:cs="Calibri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万元,分别是：国有土地使用权出让收入</w:t>
      </w:r>
      <w:r>
        <w:rPr>
          <w:rFonts w:hint="eastAsia" w:ascii="仿宋_GB2312" w:hAnsi="仿宋" w:eastAsia="仿宋_GB2312" w:cs="Calibri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14952</w:t>
      </w:r>
      <w:r>
        <w:rPr>
          <w:rFonts w:hint="eastAsia" w:ascii="仿宋_GB2312" w:hAnsi="仿宋" w:eastAsia="仿宋_GB2312" w:cs="Calibri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万元，城市基础设施配套费</w:t>
      </w:r>
      <w:r>
        <w:rPr>
          <w:rFonts w:hint="eastAsia" w:ascii="仿宋_GB2312" w:hAnsi="仿宋" w:eastAsia="仿宋_GB2312" w:cs="Calibri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7076</w:t>
      </w:r>
      <w:r>
        <w:rPr>
          <w:rFonts w:hint="eastAsia" w:ascii="仿宋_GB2312" w:hAnsi="仿宋" w:eastAsia="仿宋_GB2312" w:cs="Calibri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万元。</w:t>
      </w:r>
    </w:p>
    <w:p w14:paraId="047EDC46">
      <w:pPr>
        <w:pStyle w:val="2"/>
        <w:snapToGrid/>
        <w:spacing w:before="0" w:beforeAutospacing="0" w:after="120" w:afterAutospacing="0" w:line="240" w:lineRule="auto"/>
        <w:jc w:val="both"/>
        <w:textAlignment w:val="baseline"/>
        <w:rPr>
          <w:rFonts w:hint="eastAsia" w:ascii="仿宋_GB2312" w:hAnsi="仿宋" w:eastAsia="仿宋_GB2312" w:cs="Calibri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 w:cs="Calibri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" w:eastAsia="仿宋_GB2312" w:cs="Calibri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" w:eastAsia="仿宋_GB2312" w:cs="Calibri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eastAsia="zh-CN"/>
        </w:rPr>
        <w:t>）转移</w:t>
      </w:r>
      <w:r>
        <w:rPr>
          <w:rFonts w:hint="eastAsia" w:ascii="仿宋_GB2312" w:hAnsi="仿宋" w:eastAsia="仿宋_GB2312" w:cs="Calibri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性</w:t>
      </w:r>
      <w:r>
        <w:rPr>
          <w:rFonts w:hint="eastAsia" w:ascii="仿宋_GB2312" w:hAnsi="仿宋" w:eastAsia="仿宋_GB2312" w:cs="Calibri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eastAsia="zh-CN"/>
        </w:rPr>
        <w:t>支付收入</w:t>
      </w:r>
      <w:r>
        <w:rPr>
          <w:rFonts w:hint="eastAsia" w:ascii="仿宋_GB2312" w:hAnsi="仿宋" w:eastAsia="仿宋_GB2312" w:cs="Calibri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261万元</w:t>
      </w:r>
    </w:p>
    <w:p w14:paraId="787B3878">
      <w:pPr>
        <w:pStyle w:val="2"/>
        <w:snapToGrid/>
        <w:spacing w:before="0" w:beforeAutospacing="0" w:after="120" w:afterAutospacing="0" w:line="240" w:lineRule="auto"/>
        <w:ind w:firstLine="640" w:firstLineChars="200"/>
        <w:jc w:val="both"/>
        <w:textAlignment w:val="baseline"/>
        <w:rPr>
          <w:rFonts w:hint="default" w:ascii="仿宋_GB2312" w:hAnsi="仿宋" w:eastAsia="仿宋_GB2312" w:cs="Calibri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 w:cs="Calibri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收入总计34248万元</w:t>
      </w:r>
    </w:p>
    <w:p w14:paraId="740B45B7">
      <w:pPr>
        <w:numPr>
          <w:ilvl w:val="0"/>
          <w:numId w:val="3"/>
        </w:numPr>
        <w:snapToGrid/>
        <w:spacing w:before="0" w:beforeAutospacing="0" w:after="0" w:afterAutospacing="0" w:line="660" w:lineRule="exact"/>
        <w:ind w:firstLine="643" w:firstLineChars="200"/>
        <w:jc w:val="both"/>
        <w:textAlignment w:val="baseline"/>
        <w:rPr>
          <w:rFonts w:hint="eastAsia" w:ascii="仿宋_GB2312" w:hAnsi="仿宋" w:eastAsia="仿宋_GB2312" w:cs="Calibri"/>
          <w:b/>
          <w:bCs/>
          <w:i w:val="0"/>
          <w:caps w:val="0"/>
          <w:color w:val="000000"/>
          <w:spacing w:val="0"/>
          <w:w w:val="100"/>
          <w:sz w:val="32"/>
          <w:szCs w:val="32"/>
          <w:highlight w:val="none"/>
        </w:rPr>
      </w:pPr>
      <w:r>
        <w:rPr>
          <w:rFonts w:hint="eastAsia" w:ascii="仿宋_GB2312" w:hAnsi="仿宋" w:eastAsia="仿宋_GB2312" w:cs="Calibri"/>
          <w:b/>
          <w:bCs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支出情况</w:t>
      </w:r>
    </w:p>
    <w:p w14:paraId="1375CEDD">
      <w:pPr>
        <w:pStyle w:val="2"/>
        <w:numPr>
          <w:ilvl w:val="0"/>
          <w:numId w:val="4"/>
        </w:numPr>
        <w:snapToGrid/>
        <w:spacing w:before="0" w:beforeAutospacing="0" w:after="120" w:afterAutospacing="0" w:line="240" w:lineRule="auto"/>
        <w:ind w:firstLine="320" w:firstLineChars="100"/>
        <w:jc w:val="both"/>
        <w:textAlignment w:val="baseline"/>
        <w:rPr>
          <w:rFonts w:hint="eastAsia" w:ascii="仿宋_GB2312" w:hAnsi="仿宋" w:eastAsia="仿宋_GB2312" w:cs="Calibri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 w:cs="Calibri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eastAsia="zh-CN"/>
        </w:rPr>
        <w:t>转移</w:t>
      </w:r>
      <w:r>
        <w:rPr>
          <w:rFonts w:hint="eastAsia" w:ascii="仿宋_GB2312" w:hAnsi="仿宋" w:eastAsia="仿宋_GB2312" w:cs="Calibri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性</w:t>
      </w:r>
      <w:r>
        <w:rPr>
          <w:rFonts w:hint="eastAsia" w:ascii="仿宋_GB2312" w:hAnsi="仿宋" w:eastAsia="仿宋_GB2312" w:cs="Calibri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eastAsia="zh-CN"/>
        </w:rPr>
        <w:t>支付支出</w:t>
      </w:r>
      <w:r>
        <w:rPr>
          <w:rFonts w:hint="eastAsia" w:ascii="仿宋_GB2312" w:hAnsi="仿宋" w:eastAsia="仿宋_GB2312" w:cs="Calibri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261万元。</w:t>
      </w:r>
    </w:p>
    <w:p w14:paraId="65AFE7FD">
      <w:pPr>
        <w:pStyle w:val="2"/>
        <w:numPr>
          <w:ilvl w:val="0"/>
          <w:numId w:val="0"/>
        </w:numPr>
        <w:snapToGrid/>
        <w:spacing w:before="0" w:beforeAutospacing="0" w:after="120" w:afterAutospacing="0" w:line="240" w:lineRule="auto"/>
        <w:ind w:firstLine="320" w:firstLineChars="100"/>
        <w:jc w:val="both"/>
        <w:textAlignment w:val="baseline"/>
        <w:rPr>
          <w:rFonts w:hint="eastAsia" w:ascii="仿宋_GB2312" w:hAnsi="仿宋" w:eastAsia="仿宋_GB2312" w:cs="Calibri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</w:pPr>
      <w:r>
        <w:rPr>
          <w:rFonts w:hint="eastAsia" w:ascii="仿宋_GB2312" w:hAnsi="仿宋" w:eastAsia="仿宋_GB2312" w:cs="Calibri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（2）区本级支出33987万元，分别是：</w:t>
      </w:r>
      <w:r>
        <w:rPr>
          <w:rFonts w:hint="eastAsia" w:ascii="仿宋_GB2312" w:hAnsi="仿宋" w:eastAsia="仿宋_GB2312" w:cs="Calibri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eastAsia="zh-CN"/>
        </w:rPr>
        <w:t>国有土地使用权出让收入安排的支出</w:t>
      </w:r>
      <w:r>
        <w:rPr>
          <w:rFonts w:hint="eastAsia" w:ascii="仿宋_GB2312" w:hAnsi="仿宋" w:eastAsia="仿宋_GB2312" w:cs="Calibri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26587</w:t>
      </w:r>
      <w:r>
        <w:rPr>
          <w:rFonts w:hint="eastAsia" w:ascii="仿宋_GB2312" w:hAnsi="仿宋" w:eastAsia="仿宋_GB2312" w:cs="Calibri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万元，城市基础设施配套费</w:t>
      </w:r>
      <w:r>
        <w:rPr>
          <w:rFonts w:hint="eastAsia" w:ascii="仿宋_GB2312" w:hAnsi="仿宋" w:eastAsia="仿宋_GB2312" w:cs="Calibri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安排的支出7400</w:t>
      </w:r>
      <w:r>
        <w:rPr>
          <w:rFonts w:hint="eastAsia" w:ascii="仿宋_GB2312" w:hAnsi="仿宋" w:eastAsia="仿宋_GB2312" w:cs="Calibri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万元。</w:t>
      </w:r>
    </w:p>
    <w:p w14:paraId="18E0A94C">
      <w:pPr>
        <w:pStyle w:val="2"/>
        <w:snapToGrid/>
        <w:spacing w:before="0" w:beforeAutospacing="0" w:after="120" w:afterAutospacing="0" w:line="240" w:lineRule="auto"/>
        <w:ind w:firstLine="320" w:firstLineChars="100"/>
        <w:jc w:val="both"/>
        <w:textAlignment w:val="baseline"/>
        <w:rPr>
          <w:rFonts w:hint="eastAsia" w:ascii="仿宋_GB2312" w:hAnsi="仿宋" w:eastAsia="仿宋_GB2312" w:cs="Calibri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 w:cs="Calibri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eastAsia="zh-CN"/>
        </w:rPr>
        <w:t>支出总计</w:t>
      </w:r>
      <w:r>
        <w:rPr>
          <w:rFonts w:hint="eastAsia" w:ascii="仿宋_GB2312" w:hAnsi="仿宋" w:eastAsia="仿宋_GB2312" w:cs="Calibri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34248万元</w:t>
      </w:r>
    </w:p>
    <w:p w14:paraId="34A53807">
      <w:pPr>
        <w:pStyle w:val="2"/>
        <w:numPr>
          <w:ilvl w:val="0"/>
          <w:numId w:val="5"/>
        </w:numPr>
        <w:snapToGrid/>
        <w:spacing w:before="0" w:beforeAutospacing="0" w:after="120" w:afterAutospacing="0" w:line="240" w:lineRule="auto"/>
        <w:ind w:firstLine="321" w:firstLineChars="100"/>
        <w:jc w:val="both"/>
        <w:textAlignment w:val="baseline"/>
        <w:rPr>
          <w:rFonts w:hint="eastAsia" w:ascii="楷体_GB2312" w:hAnsi="楷体_GB2312" w:eastAsia="楷体_GB2312" w:cs="楷体_GB2312"/>
          <w:b/>
          <w:bCs/>
          <w:i w:val="0"/>
          <w:caps w:val="0"/>
          <w:color w:val="000000"/>
          <w:spacing w:val="0"/>
          <w:w w:val="10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社会保险基金预算收支情况</w:t>
      </w:r>
    </w:p>
    <w:p w14:paraId="666CEC03">
      <w:pPr>
        <w:pStyle w:val="2"/>
        <w:numPr>
          <w:ilvl w:val="0"/>
          <w:numId w:val="6"/>
        </w:numPr>
        <w:snapToGrid/>
        <w:spacing w:before="0" w:beforeAutospacing="0" w:after="120" w:afterAutospacing="0" w:line="240" w:lineRule="auto"/>
        <w:ind w:firstLine="640" w:firstLineChars="200"/>
        <w:jc w:val="both"/>
        <w:textAlignment w:val="baseline"/>
        <w:rPr>
          <w:rFonts w:hint="eastAsia" w:ascii="仿宋_GB2312" w:hAnsi="仿宋" w:eastAsia="仿宋_GB2312" w:cs="Calibri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</w:pPr>
      <w:r>
        <w:rPr>
          <w:rFonts w:hint="eastAsia" w:ascii="仿宋_GB2312" w:hAnsi="仿宋" w:eastAsia="仿宋_GB2312" w:cs="Calibri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收入情况</w:t>
      </w:r>
    </w:p>
    <w:p w14:paraId="07D53338">
      <w:pPr>
        <w:pStyle w:val="2"/>
        <w:numPr>
          <w:ilvl w:val="0"/>
          <w:numId w:val="0"/>
        </w:numPr>
        <w:snapToGrid/>
        <w:spacing w:before="0" w:beforeAutospacing="0" w:after="120" w:afterAutospacing="0" w:line="240" w:lineRule="auto"/>
        <w:ind w:firstLine="640" w:firstLineChars="200"/>
        <w:jc w:val="both"/>
        <w:textAlignment w:val="baseline"/>
        <w:rPr>
          <w:rFonts w:ascii="仿宋_GB2312" w:hAnsi="仿宋" w:eastAsia="仿宋_GB2312" w:cs="Calibri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</w:pPr>
      <w:r>
        <w:rPr>
          <w:rFonts w:hint="eastAsia" w:ascii="仿宋_GB2312" w:hAnsi="仿宋" w:eastAsia="仿宋_GB2312" w:cs="Calibri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（1）上年结余</w:t>
      </w:r>
      <w:r>
        <w:rPr>
          <w:rFonts w:hint="eastAsia" w:ascii="仿宋_GB2312" w:hAnsi="仿宋" w:eastAsia="仿宋_GB2312" w:cs="Calibri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36889</w:t>
      </w:r>
      <w:r>
        <w:rPr>
          <w:rFonts w:hint="eastAsia" w:ascii="仿宋_GB2312" w:hAnsi="仿宋" w:eastAsia="仿宋_GB2312" w:cs="Calibri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万元。分别是：城乡居民基本养老保险</w:t>
      </w:r>
      <w:r>
        <w:rPr>
          <w:rFonts w:hint="eastAsia" w:ascii="仿宋_GB2312" w:hAnsi="仿宋" w:eastAsia="仿宋_GB2312" w:cs="Calibri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29847</w:t>
      </w:r>
      <w:r>
        <w:rPr>
          <w:rFonts w:hint="eastAsia" w:ascii="仿宋_GB2312" w:hAnsi="仿宋" w:eastAsia="仿宋_GB2312" w:cs="Calibri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万元、机关事业单位基本养老保险</w:t>
      </w:r>
      <w:r>
        <w:rPr>
          <w:rFonts w:hint="eastAsia" w:ascii="仿宋_GB2312" w:hAnsi="仿宋" w:eastAsia="仿宋_GB2312" w:cs="Calibri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7042</w:t>
      </w:r>
      <w:r>
        <w:rPr>
          <w:rFonts w:hint="eastAsia" w:ascii="仿宋_GB2312" w:hAnsi="仿宋" w:eastAsia="仿宋_GB2312" w:cs="Calibri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 xml:space="preserve">万元。    </w:t>
      </w:r>
    </w:p>
    <w:p w14:paraId="2E1A70A7">
      <w:pPr>
        <w:snapToGrid/>
        <w:spacing w:before="0" w:beforeAutospacing="0" w:after="0" w:afterAutospacing="0" w:line="660" w:lineRule="exact"/>
        <w:ind w:firstLine="640" w:firstLineChars="200"/>
        <w:jc w:val="both"/>
        <w:textAlignment w:val="baseline"/>
        <w:rPr>
          <w:rFonts w:ascii="仿宋_GB2312" w:hAnsi="仿宋" w:eastAsia="仿宋_GB2312" w:cs="Calibri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</w:pPr>
      <w:r>
        <w:rPr>
          <w:rFonts w:hint="eastAsia" w:ascii="仿宋_GB2312" w:hAnsi="仿宋" w:eastAsia="仿宋_GB2312" w:cs="Calibri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（2）本年收入</w:t>
      </w:r>
      <w:r>
        <w:rPr>
          <w:rFonts w:hint="eastAsia" w:ascii="仿宋_GB2312" w:hAnsi="仿宋" w:eastAsia="仿宋_GB2312" w:cs="Calibri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39073</w:t>
      </w:r>
      <w:r>
        <w:rPr>
          <w:rFonts w:hint="eastAsia" w:ascii="仿宋_GB2312" w:hAnsi="仿宋" w:eastAsia="仿宋_GB2312" w:cs="Calibri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万元。分别是：城乡居民基本养老保险</w:t>
      </w:r>
      <w:r>
        <w:rPr>
          <w:rFonts w:hint="eastAsia" w:ascii="仿宋_GB2312" w:hAnsi="仿宋" w:eastAsia="仿宋_GB2312" w:cs="Calibri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11735</w:t>
      </w:r>
      <w:r>
        <w:rPr>
          <w:rFonts w:hint="eastAsia" w:ascii="仿宋_GB2312" w:hAnsi="仿宋" w:eastAsia="仿宋_GB2312" w:cs="Calibri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万元、机关事业单位基本养老保险</w:t>
      </w:r>
      <w:r>
        <w:rPr>
          <w:rFonts w:hint="eastAsia" w:ascii="仿宋_GB2312" w:hAnsi="仿宋" w:eastAsia="仿宋_GB2312" w:cs="Calibri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27338</w:t>
      </w:r>
      <w:r>
        <w:rPr>
          <w:rFonts w:hint="eastAsia" w:ascii="仿宋_GB2312" w:hAnsi="仿宋" w:eastAsia="仿宋_GB2312" w:cs="Calibri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万元。</w:t>
      </w:r>
    </w:p>
    <w:p w14:paraId="73091270">
      <w:pPr>
        <w:snapToGrid/>
        <w:spacing w:before="0" w:beforeAutospacing="0" w:after="0" w:afterAutospacing="0" w:line="660" w:lineRule="exact"/>
        <w:ind w:firstLine="640" w:firstLineChars="200"/>
        <w:jc w:val="both"/>
        <w:textAlignment w:val="baseline"/>
        <w:rPr>
          <w:rFonts w:ascii="仿宋_GB2312" w:hAnsi="仿宋" w:eastAsia="仿宋_GB2312" w:cs="Calibri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</w:pPr>
      <w:r>
        <w:rPr>
          <w:rFonts w:hint="eastAsia" w:ascii="仿宋_GB2312" w:hAnsi="仿宋" w:eastAsia="仿宋_GB2312" w:cs="Calibri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收入总计</w:t>
      </w:r>
      <w:r>
        <w:rPr>
          <w:rFonts w:hint="eastAsia" w:ascii="仿宋_GB2312" w:hAnsi="仿宋" w:eastAsia="仿宋_GB2312" w:cs="Calibri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75962</w:t>
      </w:r>
      <w:r>
        <w:rPr>
          <w:rFonts w:hint="eastAsia" w:ascii="仿宋_GB2312" w:hAnsi="仿宋" w:eastAsia="仿宋_GB2312" w:cs="Calibri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万元。</w:t>
      </w:r>
    </w:p>
    <w:p w14:paraId="42B92643">
      <w:pPr>
        <w:snapToGrid/>
        <w:spacing w:before="0" w:beforeAutospacing="0" w:after="0" w:afterAutospacing="0" w:line="660" w:lineRule="exact"/>
        <w:ind w:firstLine="640" w:firstLineChars="200"/>
        <w:jc w:val="both"/>
        <w:textAlignment w:val="baseline"/>
        <w:rPr>
          <w:rFonts w:ascii="仿宋_GB2312" w:hAnsi="仿宋" w:eastAsia="仿宋_GB2312" w:cs="Calibri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</w:pPr>
      <w:r>
        <w:rPr>
          <w:rFonts w:hint="eastAsia" w:ascii="仿宋_GB2312" w:hAnsi="仿宋" w:eastAsia="仿宋_GB2312" w:cs="Calibri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2、支出情况</w:t>
      </w:r>
    </w:p>
    <w:p w14:paraId="6F373D35">
      <w:pPr>
        <w:snapToGrid/>
        <w:spacing w:before="0" w:beforeAutospacing="0" w:after="0" w:afterAutospacing="0" w:line="660" w:lineRule="exact"/>
        <w:ind w:firstLine="640" w:firstLineChars="200"/>
        <w:jc w:val="both"/>
        <w:textAlignment w:val="baseline"/>
        <w:rPr>
          <w:rFonts w:ascii="仿宋_GB2312" w:hAnsi="仿宋" w:eastAsia="仿宋_GB2312" w:cs="Calibri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</w:pPr>
      <w:r>
        <w:rPr>
          <w:rFonts w:hint="eastAsia" w:ascii="仿宋_GB2312" w:hAnsi="仿宋" w:eastAsia="仿宋_GB2312" w:cs="Calibri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202</w:t>
      </w:r>
      <w:r>
        <w:rPr>
          <w:rFonts w:hint="eastAsia" w:ascii="仿宋_GB2312" w:hAnsi="仿宋" w:eastAsia="仿宋_GB2312" w:cs="Calibri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" w:eastAsia="仿宋_GB2312" w:cs="Calibri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年全区社会保险支出</w:t>
      </w:r>
      <w:r>
        <w:rPr>
          <w:rFonts w:hint="eastAsia" w:ascii="仿宋_GB2312" w:hAnsi="仿宋" w:eastAsia="仿宋_GB2312" w:cs="Calibri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35410</w:t>
      </w:r>
      <w:r>
        <w:rPr>
          <w:rFonts w:hint="eastAsia" w:ascii="仿宋_GB2312" w:hAnsi="仿宋" w:eastAsia="仿宋_GB2312" w:cs="Calibri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万元。分别是：城乡居民基本养老保险</w:t>
      </w:r>
      <w:r>
        <w:rPr>
          <w:rFonts w:hint="eastAsia" w:ascii="仿宋_GB2312" w:hAnsi="仿宋" w:eastAsia="仿宋_GB2312" w:cs="Calibri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8073</w:t>
      </w:r>
      <w:r>
        <w:rPr>
          <w:rFonts w:hint="eastAsia" w:ascii="仿宋_GB2312" w:hAnsi="仿宋" w:eastAsia="仿宋_GB2312" w:cs="Calibri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万元、机关事业单位基本养老保险</w:t>
      </w:r>
      <w:r>
        <w:rPr>
          <w:rFonts w:hint="eastAsia" w:ascii="仿宋_GB2312" w:hAnsi="仿宋" w:eastAsia="仿宋_GB2312" w:cs="Calibri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27337</w:t>
      </w:r>
      <w:r>
        <w:rPr>
          <w:rFonts w:hint="eastAsia" w:ascii="仿宋_GB2312" w:hAnsi="仿宋" w:eastAsia="仿宋_GB2312" w:cs="Calibri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万元。</w:t>
      </w:r>
    </w:p>
    <w:p w14:paraId="0C53D9A6">
      <w:pPr>
        <w:numPr>
          <w:ilvl w:val="0"/>
          <w:numId w:val="3"/>
        </w:numPr>
        <w:snapToGrid/>
        <w:spacing w:before="0" w:beforeAutospacing="0" w:after="0" w:afterAutospacing="0" w:line="660" w:lineRule="exact"/>
        <w:ind w:left="0" w:leftChars="0" w:firstLine="640" w:firstLineChars="200"/>
        <w:jc w:val="both"/>
        <w:textAlignment w:val="baseline"/>
        <w:rPr>
          <w:rFonts w:hint="eastAsia" w:ascii="仿宋_GB2312" w:hAnsi="仿宋" w:eastAsia="仿宋_GB2312" w:cs="Calibri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</w:pPr>
      <w:r>
        <w:rPr>
          <w:rFonts w:hint="eastAsia" w:ascii="仿宋_GB2312" w:hAnsi="仿宋" w:eastAsia="仿宋_GB2312" w:cs="Calibri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收支相抵</w:t>
      </w:r>
      <w:r>
        <w:rPr>
          <w:rFonts w:hint="eastAsia" w:ascii="仿宋_GB2312" w:hAnsi="仿宋" w:eastAsia="仿宋_GB2312" w:cs="Calibri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滚存</w:t>
      </w:r>
      <w:r>
        <w:rPr>
          <w:rFonts w:hint="eastAsia" w:ascii="仿宋_GB2312" w:hAnsi="仿宋" w:eastAsia="仿宋_GB2312" w:cs="Calibri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结余</w:t>
      </w:r>
      <w:r>
        <w:rPr>
          <w:rFonts w:hint="eastAsia" w:ascii="仿宋_GB2312" w:hAnsi="仿宋" w:eastAsia="仿宋_GB2312" w:cs="Calibri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40552</w:t>
      </w:r>
      <w:r>
        <w:rPr>
          <w:rFonts w:hint="eastAsia" w:ascii="仿宋_GB2312" w:hAnsi="仿宋" w:eastAsia="仿宋_GB2312" w:cs="Calibri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万元。分别是：城乡居民基本养老保险</w:t>
      </w:r>
      <w:r>
        <w:rPr>
          <w:rFonts w:hint="eastAsia" w:ascii="仿宋_GB2312" w:hAnsi="仿宋" w:eastAsia="仿宋_GB2312" w:cs="Calibri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33509</w:t>
      </w:r>
      <w:r>
        <w:rPr>
          <w:rFonts w:hint="eastAsia" w:ascii="仿宋_GB2312" w:hAnsi="仿宋" w:eastAsia="仿宋_GB2312" w:cs="Calibri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万元、机关事业单位基本养老保险</w:t>
      </w:r>
      <w:r>
        <w:rPr>
          <w:rFonts w:hint="eastAsia" w:ascii="仿宋_GB2312" w:hAnsi="仿宋" w:eastAsia="仿宋_GB2312" w:cs="Calibri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7043</w:t>
      </w:r>
      <w:r>
        <w:rPr>
          <w:rFonts w:hint="eastAsia" w:ascii="仿宋_GB2312" w:hAnsi="仿宋" w:eastAsia="仿宋_GB2312" w:cs="Calibri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万元。</w:t>
      </w:r>
    </w:p>
    <w:p w14:paraId="3B6058C0">
      <w:pPr>
        <w:snapToGrid/>
        <w:spacing w:before="0" w:beforeAutospacing="0" w:after="0" w:afterAutospacing="0" w:line="660" w:lineRule="exact"/>
        <w:ind w:firstLine="640" w:firstLineChars="200"/>
        <w:jc w:val="both"/>
        <w:textAlignment w:val="baseline"/>
        <w:rPr>
          <w:rFonts w:ascii="仿宋_GB2312" w:hAnsi="仿宋" w:eastAsia="仿宋_GB2312" w:cs="Calibri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</w:pPr>
      <w:r>
        <w:rPr>
          <w:rFonts w:hint="eastAsia" w:ascii="仿宋_GB2312" w:hAnsi="仿宋" w:eastAsia="仿宋_GB2312" w:cs="Calibri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4、</w:t>
      </w:r>
      <w:r>
        <w:rPr>
          <w:rFonts w:hint="eastAsia" w:ascii="仿宋_GB2312" w:hAnsi="仿宋" w:eastAsia="仿宋_GB2312" w:cs="Calibri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202</w:t>
      </w:r>
      <w:r>
        <w:rPr>
          <w:rFonts w:hint="eastAsia" w:ascii="仿宋_GB2312" w:hAnsi="仿宋" w:eastAsia="仿宋_GB2312" w:cs="Calibri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" w:eastAsia="仿宋_GB2312" w:cs="Calibri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年我区企业职工基本养老保险财政补贴预算</w:t>
      </w:r>
      <w:r>
        <w:rPr>
          <w:rFonts w:hint="eastAsia" w:ascii="仿宋_GB2312" w:hAnsi="仿宋" w:eastAsia="仿宋_GB2312" w:cs="Calibri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3234</w:t>
      </w:r>
      <w:r>
        <w:rPr>
          <w:rFonts w:hint="eastAsia" w:ascii="仿宋_GB2312" w:hAnsi="仿宋" w:eastAsia="仿宋_GB2312" w:cs="Calibri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万元。</w:t>
      </w:r>
    </w:p>
    <w:p w14:paraId="6DF12CE4">
      <w:pPr>
        <w:snapToGrid/>
        <w:spacing w:before="0" w:beforeAutospacing="0" w:after="0" w:afterAutospacing="0" w:line="660" w:lineRule="exact"/>
        <w:ind w:firstLine="643" w:firstLineChars="200"/>
        <w:jc w:val="both"/>
        <w:textAlignment w:val="baseline"/>
        <w:rPr>
          <w:rFonts w:ascii="楷体_GB2312" w:hAnsi="楷体_GB2312" w:eastAsia="楷体_GB2312" w:cs="楷体_GB2312"/>
          <w:b/>
          <w:bCs/>
          <w:i w:val="0"/>
          <w:caps w:val="0"/>
          <w:color w:val="000000"/>
          <w:spacing w:val="0"/>
          <w:w w:val="10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（</w:t>
      </w:r>
      <w:r>
        <w:rPr>
          <w:rFonts w:hint="eastAsia" w:ascii="楷体_GB2312" w:hAnsi="楷体_GB2312" w:eastAsia="楷体_GB2312" w:cs="楷体_GB2312"/>
          <w:b/>
          <w:bCs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楷体_GB2312" w:hAnsi="楷体_GB2312" w:eastAsia="楷体_GB2312" w:cs="楷体_GB2312"/>
          <w:b/>
          <w:bCs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）国有资本经营预算收支情况</w:t>
      </w:r>
    </w:p>
    <w:p w14:paraId="7CE976CF">
      <w:pPr>
        <w:snapToGrid/>
        <w:spacing w:before="0" w:beforeAutospacing="0" w:after="0" w:afterAutospacing="0" w:line="660" w:lineRule="exact"/>
        <w:ind w:firstLine="321" w:firstLineChars="100"/>
        <w:jc w:val="both"/>
        <w:textAlignment w:val="baseline"/>
        <w:rPr>
          <w:rFonts w:ascii="仿宋_GB2312" w:hAnsi="仿宋" w:eastAsia="仿宋_GB2312" w:cs="Calibri"/>
          <w:b/>
          <w:bCs/>
          <w:i w:val="0"/>
          <w:caps w:val="0"/>
          <w:color w:val="000000"/>
          <w:spacing w:val="0"/>
          <w:w w:val="100"/>
          <w:sz w:val="32"/>
          <w:szCs w:val="32"/>
          <w:highlight w:val="none"/>
        </w:rPr>
      </w:pPr>
      <w:r>
        <w:rPr>
          <w:rFonts w:hint="eastAsia" w:ascii="仿宋_GB2312" w:hAnsi="仿宋" w:eastAsia="仿宋_GB2312" w:cs="Calibri"/>
          <w:b/>
          <w:bCs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 xml:space="preserve">   1、收入情况</w:t>
      </w:r>
    </w:p>
    <w:p w14:paraId="6117CD16">
      <w:pPr>
        <w:snapToGrid/>
        <w:spacing w:before="0" w:beforeAutospacing="0" w:after="0" w:afterAutospacing="0" w:line="660" w:lineRule="exact"/>
        <w:ind w:firstLine="960" w:firstLineChars="300"/>
        <w:jc w:val="both"/>
        <w:textAlignment w:val="baseline"/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</w:pP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上年结转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45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万元，为2020年省属国有企业职工家属区“三供一业”分离移交财政补助资金。</w:t>
      </w:r>
    </w:p>
    <w:p w14:paraId="497AD55E">
      <w:pPr>
        <w:pStyle w:val="2"/>
        <w:snapToGrid/>
        <w:spacing w:before="0" w:beforeAutospacing="0" w:after="120" w:afterAutospacing="0" w:line="240" w:lineRule="auto"/>
        <w:ind w:firstLine="320" w:firstLineChars="100"/>
        <w:jc w:val="both"/>
        <w:textAlignment w:val="baseline"/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 xml:space="preserve">   本年收入13万元，为2021年中央企业及原中央下放企业退休人员社会化管理补助资金。</w:t>
      </w:r>
    </w:p>
    <w:p w14:paraId="1C90662E">
      <w:pPr>
        <w:pStyle w:val="2"/>
        <w:snapToGrid/>
        <w:spacing w:before="0" w:beforeAutospacing="0" w:after="120" w:afterAutospacing="0" w:line="240" w:lineRule="auto"/>
        <w:ind w:firstLine="320" w:firstLineChars="100"/>
        <w:jc w:val="both"/>
        <w:textAlignment w:val="baseline"/>
        <w:rPr>
          <w:rFonts w:hint="default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 xml:space="preserve">   收入总计58万元。</w:t>
      </w:r>
    </w:p>
    <w:p w14:paraId="50EF09B5">
      <w:pPr>
        <w:snapToGrid/>
        <w:spacing w:before="0" w:beforeAutospacing="0" w:after="0" w:afterAutospacing="0" w:line="660" w:lineRule="exact"/>
        <w:ind w:firstLine="643" w:firstLineChars="200"/>
        <w:jc w:val="both"/>
        <w:textAlignment w:val="baseline"/>
        <w:rPr>
          <w:rFonts w:ascii="仿宋_GB2312" w:hAnsi="仿宋" w:eastAsia="仿宋_GB2312" w:cs="Calibri"/>
          <w:b/>
          <w:bCs/>
          <w:i w:val="0"/>
          <w:caps w:val="0"/>
          <w:color w:val="000000"/>
          <w:spacing w:val="0"/>
          <w:w w:val="100"/>
          <w:sz w:val="32"/>
          <w:szCs w:val="32"/>
          <w:highlight w:val="none"/>
        </w:rPr>
      </w:pPr>
      <w:r>
        <w:rPr>
          <w:rFonts w:hint="eastAsia" w:ascii="仿宋_GB2312" w:hAnsi="仿宋" w:eastAsia="仿宋_GB2312" w:cs="Calibri"/>
          <w:b/>
          <w:bCs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2、支出情况</w:t>
      </w:r>
    </w:p>
    <w:p w14:paraId="00567194">
      <w:pPr>
        <w:snapToGrid/>
        <w:spacing w:before="0" w:beforeAutospacing="0" w:after="0" w:afterAutospacing="0" w:line="660" w:lineRule="exact"/>
        <w:ind w:firstLine="960" w:firstLineChars="300"/>
        <w:jc w:val="both"/>
        <w:textAlignment w:val="baseline"/>
        <w:rPr>
          <w:rFonts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</w:pP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国有资本经营预算支出为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58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万元。</w:t>
      </w:r>
    </w:p>
    <w:p w14:paraId="178E80FE">
      <w:pPr>
        <w:snapToGrid/>
        <w:spacing w:before="0" w:beforeAutospacing="0" w:after="0" w:afterAutospacing="0" w:line="660" w:lineRule="exact"/>
        <w:ind w:firstLine="643" w:firstLineChars="200"/>
        <w:jc w:val="both"/>
        <w:textAlignment w:val="baseline"/>
        <w:rPr>
          <w:rFonts w:ascii="仿宋_GB2312" w:hAnsi="仿宋" w:eastAsia="仿宋_GB2312" w:cs="Calibri"/>
          <w:b w:val="0"/>
          <w:i w:val="0"/>
          <w:caps w:val="0"/>
          <w:spacing w:val="0"/>
          <w:w w:val="100"/>
          <w:sz w:val="32"/>
          <w:szCs w:val="32"/>
          <w:highlight w:val="none"/>
        </w:rPr>
      </w:pPr>
      <w:r>
        <w:rPr>
          <w:rFonts w:hint="eastAsia" w:ascii="仿宋_GB2312" w:hAnsi="仿宋" w:eastAsia="仿宋_GB2312" w:cs="Calibri"/>
          <w:b/>
          <w:bCs/>
          <w:i w:val="0"/>
          <w:caps w:val="0"/>
          <w:spacing w:val="0"/>
          <w:w w:val="100"/>
          <w:sz w:val="32"/>
          <w:szCs w:val="32"/>
          <w:highlight w:val="none"/>
        </w:rPr>
        <w:t>四、202</w:t>
      </w:r>
      <w:r>
        <w:rPr>
          <w:rFonts w:hint="eastAsia" w:ascii="仿宋_GB2312" w:hAnsi="仿宋" w:eastAsia="仿宋_GB2312" w:cs="Calibri"/>
          <w:b/>
          <w:bCs/>
          <w:i w:val="0"/>
          <w:caps w:val="0"/>
          <w:spacing w:val="0"/>
          <w:w w:val="10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" w:eastAsia="仿宋_GB2312" w:cs="Calibri"/>
          <w:b/>
          <w:bCs/>
          <w:i w:val="0"/>
          <w:caps w:val="0"/>
          <w:spacing w:val="0"/>
          <w:w w:val="100"/>
          <w:sz w:val="32"/>
          <w:szCs w:val="32"/>
          <w:highlight w:val="none"/>
        </w:rPr>
        <w:t>年工作思路</w:t>
      </w:r>
    </w:p>
    <w:p w14:paraId="4F27CBB5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" w:eastAsia="仿宋_GB2312" w:cs="Calibri"/>
          <w:b w:val="0"/>
          <w:i w:val="0"/>
          <w:caps w:val="0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 w:cs="Calibri"/>
          <w:b w:val="0"/>
          <w:i w:val="0"/>
          <w:caps w:val="0"/>
          <w:spacing w:val="0"/>
          <w:w w:val="100"/>
          <w:sz w:val="32"/>
          <w:szCs w:val="32"/>
          <w:highlight w:val="none"/>
        </w:rPr>
        <w:t>202</w:t>
      </w:r>
      <w:r>
        <w:rPr>
          <w:rFonts w:hint="eastAsia" w:ascii="仿宋_GB2312" w:hAnsi="仿宋" w:eastAsia="仿宋_GB2312" w:cs="Calibri"/>
          <w:b w:val="0"/>
          <w:i w:val="0"/>
          <w:caps w:val="0"/>
          <w:spacing w:val="0"/>
          <w:w w:val="10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" w:eastAsia="仿宋_GB2312" w:cs="Calibri"/>
          <w:b w:val="0"/>
          <w:i w:val="0"/>
          <w:caps w:val="0"/>
          <w:spacing w:val="0"/>
          <w:w w:val="100"/>
          <w:sz w:val="32"/>
          <w:szCs w:val="32"/>
          <w:highlight w:val="none"/>
        </w:rPr>
        <w:t>年，我们的指导思想是：坚持以习近平新时代中国特色社会主义思想为指导，全面贯彻党的十九大和十九届二中、三中、四中</w:t>
      </w:r>
      <w:r>
        <w:rPr>
          <w:rFonts w:hint="eastAsia" w:ascii="仿宋_GB2312" w:hAnsi="仿宋" w:eastAsia="仿宋_GB2312" w:cs="Calibri"/>
          <w:b w:val="0"/>
          <w:i w:val="0"/>
          <w:caps w:val="0"/>
          <w:spacing w:val="0"/>
          <w:w w:val="10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" w:eastAsia="仿宋_GB2312" w:cs="Calibri"/>
          <w:b w:val="0"/>
          <w:i w:val="0"/>
          <w:caps w:val="0"/>
          <w:spacing w:val="0"/>
          <w:w w:val="100"/>
          <w:sz w:val="32"/>
          <w:szCs w:val="32"/>
          <w:highlight w:val="none"/>
          <w:lang w:val="en-US" w:eastAsia="zh-CN"/>
        </w:rPr>
        <w:t>五中</w:t>
      </w:r>
      <w:r>
        <w:rPr>
          <w:rFonts w:hint="eastAsia" w:ascii="仿宋_GB2312" w:hAnsi="仿宋" w:eastAsia="仿宋_GB2312" w:cs="Calibri"/>
          <w:b w:val="0"/>
          <w:i w:val="0"/>
          <w:caps w:val="0"/>
          <w:spacing w:val="0"/>
          <w:w w:val="100"/>
          <w:sz w:val="32"/>
          <w:szCs w:val="32"/>
          <w:highlight w:val="none"/>
        </w:rPr>
        <w:t>全会精神，</w:t>
      </w:r>
      <w:r>
        <w:rPr>
          <w:rFonts w:hint="eastAsia" w:ascii="仿宋_GB2312" w:hAnsi="仿宋" w:eastAsia="仿宋_GB2312" w:cs="Calibri"/>
          <w:b w:val="0"/>
          <w:i w:val="0"/>
          <w:caps w:val="0"/>
          <w:spacing w:val="0"/>
          <w:w w:val="100"/>
          <w:sz w:val="32"/>
          <w:szCs w:val="32"/>
          <w:highlight w:val="none"/>
          <w:lang w:val="en-US" w:eastAsia="zh-CN"/>
        </w:rPr>
        <w:t>深入贯彻习近平总书记视察山西重要讲话重要指示，全面落实省委“四为四高两同步”战略思路和市委“123321”工作思路，紧紧围绕区委“以推动高质量发展为主题，以提高中心城市核心首位度为统揽，深入实施‘六大品质战略’建设市域核心区、打造品质新朔城，在转型出雏型蹚新路上走在前列</w:t>
      </w:r>
      <w:r>
        <w:rPr>
          <w:rFonts w:hint="eastAsia" w:ascii="仿宋_GB2312" w:hAnsi="仿宋" w:eastAsia="仿宋_GB2312" w:cs="Calibri"/>
          <w:b w:val="0"/>
          <w:i w:val="0"/>
          <w:caps w:val="0"/>
          <w:spacing w:val="0"/>
          <w:w w:val="100"/>
          <w:sz w:val="32"/>
          <w:szCs w:val="32"/>
          <w:highlight w:val="none"/>
          <w:lang w:eastAsia="zh-CN"/>
        </w:rPr>
        <w:t>”</w:t>
      </w:r>
      <w:r>
        <w:rPr>
          <w:rFonts w:hint="eastAsia" w:ascii="仿宋_GB2312" w:hAnsi="仿宋" w:eastAsia="仿宋_GB2312" w:cs="Calibri"/>
          <w:b w:val="0"/>
          <w:i w:val="0"/>
          <w:caps w:val="0"/>
          <w:spacing w:val="0"/>
          <w:w w:val="100"/>
          <w:sz w:val="32"/>
          <w:szCs w:val="32"/>
          <w:highlight w:val="none"/>
        </w:rPr>
        <w:t>提供财力保障。</w:t>
      </w:r>
    </w:p>
    <w:p w14:paraId="0D1743E2">
      <w:pPr>
        <w:snapToGrid/>
        <w:spacing w:before="0" w:beforeAutospacing="0" w:after="0" w:afterAutospacing="0" w:line="660" w:lineRule="exact"/>
        <w:ind w:firstLine="640" w:firstLineChars="200"/>
        <w:jc w:val="both"/>
        <w:textAlignment w:val="baseline"/>
        <w:rPr>
          <w:rFonts w:ascii="仿宋_GB2312" w:hAnsi="仿宋" w:eastAsia="仿宋_GB2312" w:cs="Calibri"/>
          <w:b w:val="0"/>
          <w:i w:val="0"/>
          <w:caps w:val="0"/>
          <w:spacing w:val="0"/>
          <w:w w:val="100"/>
          <w:sz w:val="32"/>
          <w:szCs w:val="32"/>
          <w:highlight w:val="none"/>
        </w:rPr>
      </w:pPr>
      <w:r>
        <w:rPr>
          <w:rFonts w:hint="eastAsia" w:ascii="仿宋_GB2312" w:hAnsi="仿宋" w:eastAsia="仿宋_GB2312" w:cs="Calibri"/>
          <w:b w:val="0"/>
          <w:i w:val="0"/>
          <w:caps w:val="0"/>
          <w:spacing w:val="0"/>
          <w:w w:val="100"/>
          <w:sz w:val="32"/>
          <w:szCs w:val="32"/>
          <w:highlight w:val="none"/>
        </w:rPr>
        <w:t>（一）坚持全面从严治党，进一步压实党建责任。突出讲政治，以党建作为财政工作的统揽，</w:t>
      </w:r>
      <w:r>
        <w:rPr>
          <w:rFonts w:hint="eastAsia" w:ascii="仿宋_GB2312" w:hAnsi="仿宋" w:eastAsia="仿宋_GB2312" w:cs="Calibri"/>
          <w:b w:val="0"/>
          <w:i w:val="0"/>
          <w:caps w:val="0"/>
          <w:spacing w:val="0"/>
          <w:w w:val="100"/>
          <w:sz w:val="32"/>
          <w:szCs w:val="32"/>
          <w:highlight w:val="none"/>
          <w:lang w:val="en-US" w:eastAsia="zh-CN"/>
        </w:rPr>
        <w:t>积极开展党史学习教育，</w:t>
      </w:r>
      <w:r>
        <w:rPr>
          <w:rFonts w:hint="eastAsia" w:ascii="仿宋_GB2312" w:hAnsi="仿宋" w:eastAsia="仿宋_GB2312" w:cs="Calibri"/>
          <w:b w:val="0"/>
          <w:i w:val="0"/>
          <w:caps w:val="0"/>
          <w:spacing w:val="0"/>
          <w:w w:val="100"/>
          <w:sz w:val="32"/>
          <w:szCs w:val="32"/>
          <w:highlight w:val="none"/>
        </w:rPr>
        <w:t>进一步树立“四个意识”、坚定“四个自信”、做到“两个维护”；进一步严明党的政治纪律和政治规矩，加强政治思想建设，加强组织队伍建设，加强作风纪律建设，加强反腐倡廉建设，不断提高财政党建质量和水平，激励财政干部忠诚履职、勇于担当，营造风清气正的财政理财环境。</w:t>
      </w:r>
    </w:p>
    <w:p w14:paraId="41008091">
      <w:pPr>
        <w:snapToGrid/>
        <w:spacing w:before="0" w:beforeAutospacing="0" w:after="0" w:afterAutospacing="0" w:line="660" w:lineRule="exact"/>
        <w:ind w:firstLine="640" w:firstLineChars="200"/>
        <w:jc w:val="both"/>
        <w:textAlignment w:val="baseline"/>
        <w:rPr>
          <w:rFonts w:ascii="仿宋_GB2312" w:hAnsi="仿宋" w:eastAsia="仿宋_GB2312" w:cs="Calibri"/>
          <w:b w:val="0"/>
          <w:i w:val="0"/>
          <w:caps w:val="0"/>
          <w:spacing w:val="0"/>
          <w:w w:val="100"/>
          <w:sz w:val="32"/>
          <w:szCs w:val="32"/>
          <w:highlight w:val="none"/>
        </w:rPr>
      </w:pPr>
      <w:r>
        <w:rPr>
          <w:rFonts w:hint="eastAsia" w:ascii="仿宋_GB2312" w:hAnsi="仿宋" w:eastAsia="仿宋_GB2312" w:cs="Calibri"/>
          <w:b w:val="0"/>
          <w:i w:val="0"/>
          <w:caps w:val="0"/>
          <w:spacing w:val="0"/>
          <w:w w:val="100"/>
          <w:sz w:val="32"/>
          <w:szCs w:val="32"/>
          <w:highlight w:val="none"/>
        </w:rPr>
        <w:t>（二）坚持组织收入工作，确保圆满完成财政收入任务。紧紧围绕区委、区政府的经济发展思路，力争完成或超额完成全年财政工作任务。一是提高税收征管水平，多措并举保障收入。及时把握税源动态，杜绝跑冒漏滴，确保应收尽收。二是努力盘活存量资金。加大清理整顿结转资金统筹使用力度。三是积极把握政策窗口，利用人脉与渠道向上争取资金，增强地方可用财力。做到上级转移支付有增无减。</w:t>
      </w:r>
    </w:p>
    <w:p w14:paraId="2C9BB976">
      <w:pPr>
        <w:snapToGrid/>
        <w:spacing w:before="0" w:beforeAutospacing="0" w:after="0" w:afterAutospacing="0" w:line="660" w:lineRule="exact"/>
        <w:ind w:firstLine="640" w:firstLineChars="200"/>
        <w:jc w:val="both"/>
        <w:textAlignment w:val="baseline"/>
        <w:rPr>
          <w:rFonts w:ascii="仿宋_GB2312" w:hAnsi="仿宋" w:eastAsia="仿宋_GB2312" w:cs="Calibri"/>
          <w:b w:val="0"/>
          <w:i w:val="0"/>
          <w:caps w:val="0"/>
          <w:spacing w:val="0"/>
          <w:w w:val="100"/>
          <w:sz w:val="32"/>
          <w:szCs w:val="32"/>
          <w:highlight w:val="none"/>
        </w:rPr>
      </w:pPr>
      <w:r>
        <w:rPr>
          <w:rFonts w:hint="eastAsia" w:ascii="仿宋_GB2312" w:hAnsi="仿宋" w:eastAsia="仿宋_GB2312" w:cs="Calibri"/>
          <w:b w:val="0"/>
          <w:i w:val="0"/>
          <w:caps w:val="0"/>
          <w:spacing w:val="0"/>
          <w:w w:val="100"/>
          <w:sz w:val="32"/>
          <w:szCs w:val="32"/>
          <w:highlight w:val="none"/>
        </w:rPr>
        <w:t>（三）坚持优化支出结构，提高资金使用效益。加快财政支出进度，强化财政预算管理，提高预算编制科学化、精细化管理水平，做实部门预算；进一步优化财政支出结构，</w:t>
      </w:r>
      <w:r>
        <w:rPr>
          <w:rFonts w:hint="eastAsia" w:ascii="仿宋_GB2312" w:hAnsi="黑体" w:eastAsia="仿宋_GB2312" w:cs="黑体"/>
          <w:b w:val="0"/>
          <w:i w:val="0"/>
          <w:caps w:val="0"/>
          <w:spacing w:val="0"/>
          <w:w w:val="100"/>
          <w:sz w:val="32"/>
          <w:szCs w:val="32"/>
          <w:highlight w:val="none"/>
        </w:rPr>
        <w:t>坚决落实过“紧日子”要求，把严把紧预算支出关口，深入挖掘节支潜力，坚决把一般性支出压下来</w:t>
      </w:r>
      <w:r>
        <w:rPr>
          <w:rFonts w:hint="eastAsia" w:ascii="仿宋_GB2312" w:hAnsi="黑体" w:eastAsia="仿宋_GB2312" w:cs="黑体"/>
          <w:b w:val="0"/>
          <w:i w:val="0"/>
          <w:caps w:val="0"/>
          <w:spacing w:val="0"/>
          <w:w w:val="10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" w:eastAsia="仿宋_GB2312" w:cs="Calibri"/>
          <w:b w:val="0"/>
          <w:i w:val="0"/>
          <w:caps w:val="0"/>
          <w:spacing w:val="0"/>
          <w:w w:val="100"/>
          <w:sz w:val="32"/>
          <w:szCs w:val="32"/>
          <w:highlight w:val="none"/>
        </w:rPr>
        <w:t xml:space="preserve">严格控制和压缩“三公”经费等一般性支出，从严从紧控制超预算支出；进一步改进预算执行管理，硬化预算执行约束，从严控制预算调整事项；全方位加强预算执行监控，促进经费规范合理使用，从根本上避免资金浪费、闲置等问题发生； </w:t>
      </w:r>
    </w:p>
    <w:p w14:paraId="42E74F16">
      <w:pPr>
        <w:snapToGrid/>
        <w:spacing w:before="0" w:beforeAutospacing="0" w:after="0" w:afterAutospacing="0" w:line="660" w:lineRule="exact"/>
        <w:ind w:firstLine="640" w:firstLineChars="200"/>
        <w:jc w:val="both"/>
        <w:textAlignment w:val="baseline"/>
        <w:rPr>
          <w:rFonts w:ascii="仿宋_GB2312" w:hAnsi="仿宋" w:eastAsia="仿宋_GB2312" w:cs="Calibri"/>
          <w:b w:val="0"/>
          <w:i w:val="0"/>
          <w:caps w:val="0"/>
          <w:spacing w:val="0"/>
          <w:w w:val="100"/>
          <w:sz w:val="32"/>
          <w:szCs w:val="32"/>
          <w:highlight w:val="none"/>
        </w:rPr>
      </w:pPr>
      <w:r>
        <w:rPr>
          <w:rFonts w:hint="eastAsia" w:ascii="仿宋_GB2312" w:hAnsi="仿宋" w:eastAsia="仿宋_GB2312" w:cs="Calibri"/>
          <w:b w:val="0"/>
          <w:i w:val="0"/>
          <w:caps w:val="0"/>
          <w:spacing w:val="0"/>
          <w:w w:val="100"/>
          <w:sz w:val="32"/>
          <w:szCs w:val="32"/>
          <w:highlight w:val="none"/>
        </w:rPr>
        <w:t>（四）完善财政体制，深化重点领域改革。继续巩固深化国库集中支付制度改革，确保</w:t>
      </w:r>
      <w:r>
        <w:rPr>
          <w:rFonts w:hint="eastAsia" w:ascii="仿宋_GB2312" w:hAnsi="仿宋" w:eastAsia="仿宋_GB2312" w:cs="Calibri"/>
          <w:b w:val="0"/>
          <w:i w:val="0"/>
          <w:caps w:val="0"/>
          <w:spacing w:val="0"/>
          <w:w w:val="100"/>
          <w:sz w:val="32"/>
          <w:szCs w:val="32"/>
          <w:highlight w:val="none"/>
          <w:lang w:val="en-US" w:eastAsia="zh-CN"/>
        </w:rPr>
        <w:t>财政预算管理</w:t>
      </w:r>
      <w:r>
        <w:rPr>
          <w:rFonts w:hint="eastAsia" w:ascii="仿宋_GB2312" w:hAnsi="仿宋" w:eastAsia="仿宋_GB2312" w:cs="Calibri"/>
          <w:b w:val="0"/>
          <w:i w:val="0"/>
          <w:caps w:val="0"/>
          <w:spacing w:val="0"/>
          <w:w w:val="100"/>
          <w:sz w:val="32"/>
          <w:szCs w:val="32"/>
          <w:highlight w:val="none"/>
        </w:rPr>
        <w:t>一体化系统平稳运行；继续加强政府性债务管理，严控新增债务，严格举借用途，合理控制债务规模，防范债务风险；继续完善政府采购、投资评审、绩效评价、国有资产监督监管机制，切实提升财政监管效益，把有限的资金花在刀刃上。</w:t>
      </w:r>
    </w:p>
    <w:p w14:paraId="50BB19D2">
      <w:pPr>
        <w:snapToGrid/>
        <w:spacing w:before="0" w:beforeAutospacing="0" w:after="0" w:afterAutospacing="0" w:line="660" w:lineRule="exact"/>
        <w:ind w:firstLine="640" w:firstLineChars="200"/>
        <w:jc w:val="both"/>
        <w:textAlignment w:val="baseline"/>
        <w:rPr>
          <w:rFonts w:ascii="仿宋_GB2312" w:hAnsi="仿宋" w:eastAsia="仿宋_GB2312" w:cs="Calibri"/>
          <w:b w:val="0"/>
          <w:i w:val="0"/>
          <w:caps w:val="0"/>
          <w:spacing w:val="0"/>
          <w:w w:val="100"/>
          <w:sz w:val="32"/>
          <w:szCs w:val="32"/>
          <w:highlight w:val="none"/>
        </w:rPr>
      </w:pPr>
      <w:r>
        <w:rPr>
          <w:rFonts w:hint="eastAsia" w:ascii="仿宋_GB2312" w:hAnsi="仿宋" w:eastAsia="仿宋_GB2312" w:cs="Calibri"/>
          <w:b w:val="0"/>
          <w:i w:val="0"/>
          <w:caps w:val="0"/>
          <w:spacing w:val="0"/>
          <w:w w:val="100"/>
          <w:sz w:val="32"/>
          <w:szCs w:val="32"/>
          <w:highlight w:val="none"/>
        </w:rPr>
        <w:t>（五）保障改善民生，促进社会和谐发展。始终做到民生投入优先安排，民生资金优先调度，民生事业优先发展。注重整合涉农项目资金，支持乡村振兴战略实施；加大教育经费投入，始终坚持教育优先，维护教育公平；加强对社会保障资金的管理，建立多渠道资金筹措机制，注重加大对弱势群体的扶持力度，维护社会和谐稳定，切实增强人民群众获得感、幸福感和安全感。</w:t>
      </w:r>
    </w:p>
    <w:p w14:paraId="5C2E8E71">
      <w:pPr>
        <w:snapToGrid/>
        <w:spacing w:before="0" w:beforeAutospacing="0" w:after="0" w:afterAutospacing="0" w:line="660" w:lineRule="exact"/>
        <w:ind w:firstLine="640" w:firstLineChars="200"/>
        <w:jc w:val="both"/>
        <w:textAlignment w:val="baseline"/>
        <w:rPr>
          <w:rFonts w:ascii="仿宋_GB2312" w:hAnsi="仿宋" w:eastAsia="仿宋_GB2312" w:cs="Calibri"/>
          <w:b w:val="0"/>
          <w:i w:val="0"/>
          <w:caps w:val="0"/>
          <w:spacing w:val="0"/>
          <w:w w:val="100"/>
          <w:sz w:val="32"/>
          <w:szCs w:val="32"/>
          <w:highlight w:val="none"/>
        </w:rPr>
      </w:pPr>
      <w:r>
        <w:rPr>
          <w:rFonts w:hint="eastAsia" w:ascii="仿宋_GB2312" w:hAnsi="仿宋" w:eastAsia="仿宋_GB2312" w:cs="Calibri"/>
          <w:b w:val="0"/>
          <w:i w:val="0"/>
          <w:caps w:val="0"/>
          <w:spacing w:val="0"/>
          <w:w w:val="100"/>
          <w:sz w:val="32"/>
          <w:szCs w:val="32"/>
          <w:highlight w:val="none"/>
        </w:rPr>
        <w:t>（六）提升干部素质，打造过硬财政队伍。为适应新时期加快建立现代财政制度的需要，积极培养锻造绝对忠诚、业务精湛、清正廉洁、作风优良的财政“铁军”和“尖兵”。一要多渠道组织学习培训，围绕建设高素质专业化干部队伍的要求，有针对性地安排学习培训工作；二要树立正确选人用人导向，坚持培养与使用相结合，充分发挥业务能手的引领带动作用，给干部提供进一步施展才能的机会和平台；三要坚持严管和厚爱结合、激励和约束并重，完善干部考核评价机制，着力打造忠诚干净担当的高素质财政干部队伍。</w:t>
      </w:r>
    </w:p>
    <w:p w14:paraId="31067E38">
      <w:pPr>
        <w:keepNext w:val="0"/>
        <w:keepLines w:val="0"/>
        <w:widowControl/>
        <w:suppressLineNumbers w:val="0"/>
        <w:jc w:val="left"/>
        <w:rPr>
          <w:b w:val="0"/>
          <w:i w:val="0"/>
          <w:caps w:val="0"/>
          <w:spacing w:val="0"/>
          <w:w w:val="100"/>
          <w:sz w:val="32"/>
          <w:szCs w:val="32"/>
          <w:highlight w:val="none"/>
        </w:rPr>
      </w:pPr>
      <w:r>
        <w:rPr>
          <w:rFonts w:hint="eastAsia" w:ascii="仿宋_GB2312" w:hAnsi="仿宋" w:eastAsia="仿宋_GB2312" w:cs="Calibri"/>
          <w:b w:val="0"/>
          <w:i w:val="0"/>
          <w:caps w:val="0"/>
          <w:spacing w:val="0"/>
          <w:w w:val="100"/>
          <w:sz w:val="32"/>
          <w:szCs w:val="32"/>
          <w:highlight w:val="none"/>
        </w:rPr>
        <w:t>各位代表，202</w:t>
      </w:r>
      <w:r>
        <w:rPr>
          <w:rFonts w:hint="eastAsia" w:ascii="仿宋_GB2312" w:hAnsi="仿宋" w:eastAsia="仿宋_GB2312" w:cs="Calibri"/>
          <w:b w:val="0"/>
          <w:i w:val="0"/>
          <w:caps w:val="0"/>
          <w:spacing w:val="0"/>
          <w:w w:val="10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" w:eastAsia="仿宋_GB2312" w:cs="Calibri"/>
          <w:b w:val="0"/>
          <w:i w:val="0"/>
          <w:caps w:val="0"/>
          <w:spacing w:val="0"/>
          <w:w w:val="100"/>
          <w:sz w:val="32"/>
          <w:szCs w:val="32"/>
          <w:highlight w:val="none"/>
        </w:rPr>
        <w:t>年财政工作任务繁重而艰巨。我们将</w:t>
      </w:r>
      <w:r>
        <w:rPr>
          <w:rFonts w:hint="eastAsia" w:ascii="仿宋_GB2312" w:hAnsi="仿宋" w:eastAsia="仿宋_GB2312" w:cs="Calibri"/>
          <w:b w:val="0"/>
          <w:i w:val="0"/>
          <w:caps w:val="0"/>
          <w:spacing w:val="0"/>
          <w:w w:val="100"/>
          <w:sz w:val="32"/>
          <w:szCs w:val="32"/>
          <w:highlight w:val="none"/>
          <w:lang w:val="en-US" w:eastAsia="zh-CN"/>
        </w:rPr>
        <w:t>秉持“求实、包容、敢为、争先” 的朔城精神，</w:t>
      </w:r>
      <w:r>
        <w:rPr>
          <w:rFonts w:hint="eastAsia" w:ascii="仿宋_GB2312" w:hAnsi="仿宋" w:eastAsia="仿宋_GB2312" w:cs="Calibri"/>
          <w:b w:val="0"/>
          <w:i w:val="0"/>
          <w:caps w:val="0"/>
          <w:spacing w:val="0"/>
          <w:w w:val="100"/>
          <w:sz w:val="32"/>
          <w:szCs w:val="32"/>
          <w:highlight w:val="none"/>
        </w:rPr>
        <w:t>在区委、区政府的正确领导下，在区人大和区政协的监督指导下，主动适应经济发展新常态，众志成城攻坚克难，奋发有为开拓创新，努力完成全年财政工作任务，</w:t>
      </w:r>
      <w:r>
        <w:rPr>
          <w:rFonts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highlight w:val="none"/>
          <w:lang w:val="en-US" w:eastAsia="zh-CN" w:bidi="ar"/>
        </w:rPr>
        <w:t>为建设市域核 心区、打造品质新朔城，在转型出雏型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highlight w:val="none"/>
          <w:lang w:val="en-US" w:eastAsia="zh-CN" w:bidi="ar"/>
        </w:rPr>
        <w:t>蹚</w:t>
      </w:r>
      <w:r>
        <w:rPr>
          <w:rFonts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highlight w:val="none"/>
          <w:lang w:val="en-US" w:eastAsia="zh-CN" w:bidi="ar"/>
        </w:rPr>
        <w:t>新路上走在前列</w:t>
      </w:r>
      <w:r>
        <w:rPr>
          <w:rFonts w:hint="eastAsia" w:ascii="仿宋_GB2312" w:hAnsi="仿宋" w:eastAsia="仿宋_GB2312" w:cs="Calibri"/>
          <w:b w:val="0"/>
          <w:i w:val="0"/>
          <w:caps w:val="0"/>
          <w:spacing w:val="0"/>
          <w:w w:val="100"/>
          <w:sz w:val="32"/>
          <w:szCs w:val="32"/>
          <w:highlight w:val="none"/>
        </w:rPr>
        <w:t>做出更大的贡献！</w:t>
      </w:r>
    </w:p>
    <w:p w14:paraId="2257406E">
      <w:pPr>
        <w:snapToGrid/>
        <w:spacing w:before="0" w:beforeAutospacing="0" w:after="0" w:afterAutospacing="0" w:line="240" w:lineRule="auto"/>
        <w:jc w:val="both"/>
        <w:textAlignment w:val="baseline"/>
        <w:rPr>
          <w:b w:val="0"/>
          <w:i w:val="0"/>
          <w:caps w:val="0"/>
          <w:spacing w:val="0"/>
          <w:w w:val="100"/>
          <w:sz w:val="32"/>
          <w:szCs w:val="32"/>
          <w:highlight w:val="none"/>
        </w:rPr>
      </w:pPr>
    </w:p>
    <w:sectPr>
      <w:footerReference r:id="rId3" w:type="default"/>
      <w:footerReference r:id="rId4" w:type="even"/>
      <w:pgSz w:w="11906" w:h="16838"/>
      <w:pgMar w:top="1440" w:right="1803" w:bottom="1440" w:left="1803" w:header="851" w:footer="1134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955330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26A69704">
                          <w:pPr>
                            <w:pStyle w:val="4"/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- 18 -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ml5N0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6A69704">
                    <w:pPr>
                      <w:pStyle w:val="4"/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- 18 -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BC74D0">
    <w:pPr>
      <w:pStyle w:val="4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 w14:paraId="4508F076"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F5A4F59"/>
    <w:multiLevelType w:val="singleLevel"/>
    <w:tmpl w:val="8F5A4F59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C4C42685"/>
    <w:multiLevelType w:val="singleLevel"/>
    <w:tmpl w:val="C4C42685"/>
    <w:lvl w:ilvl="0" w:tentative="0">
      <w:start w:val="2"/>
      <w:numFmt w:val="decimal"/>
      <w:suff w:val="nothing"/>
      <w:lvlText w:val="%1、"/>
      <w:lvlJc w:val="left"/>
    </w:lvl>
  </w:abstractNum>
  <w:abstractNum w:abstractNumId="2">
    <w:nsid w:val="F9714172"/>
    <w:multiLevelType w:val="singleLevel"/>
    <w:tmpl w:val="F9714172"/>
    <w:lvl w:ilvl="0" w:tentative="0">
      <w:start w:val="1"/>
      <w:numFmt w:val="decimal"/>
      <w:suff w:val="nothing"/>
      <w:lvlText w:val="（%1）"/>
      <w:lvlJc w:val="left"/>
    </w:lvl>
  </w:abstractNum>
  <w:abstractNum w:abstractNumId="3">
    <w:nsid w:val="1B363206"/>
    <w:multiLevelType w:val="singleLevel"/>
    <w:tmpl w:val="1B363206"/>
    <w:lvl w:ilvl="0" w:tentative="0">
      <w:start w:val="4"/>
      <w:numFmt w:val="chineseCounting"/>
      <w:suff w:val="nothing"/>
      <w:lvlText w:val="（%1）"/>
      <w:lvlJc w:val="left"/>
      <w:rPr>
        <w:rFonts w:hint="eastAsia"/>
      </w:rPr>
    </w:lvl>
  </w:abstractNum>
  <w:abstractNum w:abstractNumId="4">
    <w:nsid w:val="3E41C84A"/>
    <w:multiLevelType w:val="singleLevel"/>
    <w:tmpl w:val="3E41C84A"/>
    <w:lvl w:ilvl="0" w:tentative="0">
      <w:start w:val="1"/>
      <w:numFmt w:val="decimal"/>
      <w:suff w:val="nothing"/>
      <w:lvlText w:val="%1、"/>
      <w:lvlJc w:val="left"/>
    </w:lvl>
  </w:abstractNum>
  <w:abstractNum w:abstractNumId="5">
    <w:nsid w:val="440AE5B6"/>
    <w:multiLevelType w:val="singleLevel"/>
    <w:tmpl w:val="440AE5B6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C41D99"/>
    <w:rsid w:val="00D717EB"/>
    <w:rsid w:val="01C61BA8"/>
    <w:rsid w:val="0307528C"/>
    <w:rsid w:val="031157A7"/>
    <w:rsid w:val="03602CA2"/>
    <w:rsid w:val="0380781D"/>
    <w:rsid w:val="03B42EB1"/>
    <w:rsid w:val="03C41D99"/>
    <w:rsid w:val="066E537F"/>
    <w:rsid w:val="08F104DE"/>
    <w:rsid w:val="09544486"/>
    <w:rsid w:val="09EE56A1"/>
    <w:rsid w:val="0B8E686B"/>
    <w:rsid w:val="0BEF0356"/>
    <w:rsid w:val="0BFD6DD0"/>
    <w:rsid w:val="0C2B23BD"/>
    <w:rsid w:val="0C6D53C5"/>
    <w:rsid w:val="0C9827BA"/>
    <w:rsid w:val="10146997"/>
    <w:rsid w:val="11BE512D"/>
    <w:rsid w:val="11C763EC"/>
    <w:rsid w:val="122D77FC"/>
    <w:rsid w:val="12333C04"/>
    <w:rsid w:val="143F52FD"/>
    <w:rsid w:val="14A8219F"/>
    <w:rsid w:val="152F2236"/>
    <w:rsid w:val="15BA05E5"/>
    <w:rsid w:val="17F73FA9"/>
    <w:rsid w:val="19153F0F"/>
    <w:rsid w:val="1941520E"/>
    <w:rsid w:val="197C4850"/>
    <w:rsid w:val="1A0B1D2A"/>
    <w:rsid w:val="1A173C9F"/>
    <w:rsid w:val="1B992275"/>
    <w:rsid w:val="1BDF7187"/>
    <w:rsid w:val="1C2E05ED"/>
    <w:rsid w:val="1D1C2BFE"/>
    <w:rsid w:val="1D522839"/>
    <w:rsid w:val="1E51555E"/>
    <w:rsid w:val="1EC77DE2"/>
    <w:rsid w:val="202E50CF"/>
    <w:rsid w:val="205C5744"/>
    <w:rsid w:val="217624E2"/>
    <w:rsid w:val="24D57E19"/>
    <w:rsid w:val="24D844EA"/>
    <w:rsid w:val="258A0EFD"/>
    <w:rsid w:val="267E3ADE"/>
    <w:rsid w:val="268D44A2"/>
    <w:rsid w:val="27C337C0"/>
    <w:rsid w:val="27E7015F"/>
    <w:rsid w:val="289508CB"/>
    <w:rsid w:val="2A42092B"/>
    <w:rsid w:val="2AC5522F"/>
    <w:rsid w:val="2C9F60FD"/>
    <w:rsid w:val="2D153317"/>
    <w:rsid w:val="2ECC7C83"/>
    <w:rsid w:val="2FB17A87"/>
    <w:rsid w:val="2FFA7BD2"/>
    <w:rsid w:val="31AC498D"/>
    <w:rsid w:val="31D2658A"/>
    <w:rsid w:val="31F44751"/>
    <w:rsid w:val="34247462"/>
    <w:rsid w:val="342669CF"/>
    <w:rsid w:val="346D27E1"/>
    <w:rsid w:val="34FD0FB7"/>
    <w:rsid w:val="355151C0"/>
    <w:rsid w:val="3631039B"/>
    <w:rsid w:val="37102A94"/>
    <w:rsid w:val="37FD4F6A"/>
    <w:rsid w:val="39373F20"/>
    <w:rsid w:val="3B205BC2"/>
    <w:rsid w:val="3C0B4F80"/>
    <w:rsid w:val="3E30297E"/>
    <w:rsid w:val="3E306843"/>
    <w:rsid w:val="3E3C2492"/>
    <w:rsid w:val="3E6804B7"/>
    <w:rsid w:val="3E75154C"/>
    <w:rsid w:val="3F7C7760"/>
    <w:rsid w:val="41915A51"/>
    <w:rsid w:val="41D408B3"/>
    <w:rsid w:val="435424D2"/>
    <w:rsid w:val="44596039"/>
    <w:rsid w:val="45221948"/>
    <w:rsid w:val="461520BD"/>
    <w:rsid w:val="46A01536"/>
    <w:rsid w:val="46AE0DF5"/>
    <w:rsid w:val="46B32C01"/>
    <w:rsid w:val="470B7FFF"/>
    <w:rsid w:val="47215C92"/>
    <w:rsid w:val="47B06AD2"/>
    <w:rsid w:val="488F41AD"/>
    <w:rsid w:val="4A367EC7"/>
    <w:rsid w:val="4B0155EA"/>
    <w:rsid w:val="4B071784"/>
    <w:rsid w:val="4BBD3CB0"/>
    <w:rsid w:val="4F060FB3"/>
    <w:rsid w:val="50836208"/>
    <w:rsid w:val="50D14CAC"/>
    <w:rsid w:val="50D15ED0"/>
    <w:rsid w:val="517144DC"/>
    <w:rsid w:val="520C4DE0"/>
    <w:rsid w:val="524A472E"/>
    <w:rsid w:val="52D53A41"/>
    <w:rsid w:val="547F3A38"/>
    <w:rsid w:val="574A567C"/>
    <w:rsid w:val="57544933"/>
    <w:rsid w:val="58176899"/>
    <w:rsid w:val="58C31832"/>
    <w:rsid w:val="591D2DAF"/>
    <w:rsid w:val="5A283B40"/>
    <w:rsid w:val="5B31367E"/>
    <w:rsid w:val="5C0F5CB9"/>
    <w:rsid w:val="5CC663C3"/>
    <w:rsid w:val="5D294F65"/>
    <w:rsid w:val="5D3F7D7E"/>
    <w:rsid w:val="5DED2434"/>
    <w:rsid w:val="5E112435"/>
    <w:rsid w:val="5E8B05A4"/>
    <w:rsid w:val="60965866"/>
    <w:rsid w:val="61A56E5F"/>
    <w:rsid w:val="631634AD"/>
    <w:rsid w:val="640A62C3"/>
    <w:rsid w:val="64A74934"/>
    <w:rsid w:val="65414F3D"/>
    <w:rsid w:val="6546780A"/>
    <w:rsid w:val="658226DB"/>
    <w:rsid w:val="65E26153"/>
    <w:rsid w:val="66353802"/>
    <w:rsid w:val="663F567F"/>
    <w:rsid w:val="681806D0"/>
    <w:rsid w:val="68B125E8"/>
    <w:rsid w:val="68C926B9"/>
    <w:rsid w:val="6A114C3E"/>
    <w:rsid w:val="6AEB57B0"/>
    <w:rsid w:val="6B523232"/>
    <w:rsid w:val="6B661404"/>
    <w:rsid w:val="6B9E6A61"/>
    <w:rsid w:val="6C5E6EC2"/>
    <w:rsid w:val="6C6C0356"/>
    <w:rsid w:val="6CD51323"/>
    <w:rsid w:val="6D281A20"/>
    <w:rsid w:val="6E6B5586"/>
    <w:rsid w:val="73867186"/>
    <w:rsid w:val="747E0DB5"/>
    <w:rsid w:val="748D0977"/>
    <w:rsid w:val="74E205B0"/>
    <w:rsid w:val="766D7D37"/>
    <w:rsid w:val="77600345"/>
    <w:rsid w:val="7794370F"/>
    <w:rsid w:val="7A2A5293"/>
    <w:rsid w:val="7ADC5465"/>
    <w:rsid w:val="7E134AAF"/>
    <w:rsid w:val="7E240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"/>
    <w:basedOn w:val="3"/>
    <w:qFormat/>
    <w:uiPriority w:val="0"/>
    <w:pPr>
      <w:spacing w:after="120"/>
      <w:ind w:firstLine="420" w:firstLineChars="100"/>
      <w:jc w:val="both"/>
      <w:textAlignment w:val="baseline"/>
    </w:pPr>
  </w:style>
  <w:style w:type="paragraph" w:customStyle="1" w:styleId="3">
    <w:name w:val="BodyText"/>
    <w:basedOn w:val="1"/>
    <w:qFormat/>
    <w:uiPriority w:val="0"/>
    <w:pPr>
      <w:spacing w:after="120"/>
      <w:jc w:val="both"/>
      <w:textAlignment w:val="baseline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paragraph" w:customStyle="1" w:styleId="8">
    <w:name w:val="_Style 1"/>
    <w:basedOn w:val="1"/>
    <w:qFormat/>
    <w:uiPriority w:val="34"/>
    <w:pPr>
      <w:ind w:firstLine="420" w:firstLineChars="200"/>
    </w:pPr>
  </w:style>
  <w:style w:type="character" w:customStyle="1" w:styleId="9">
    <w:name w:val="ca-21"/>
    <w:qFormat/>
    <w:uiPriority w:val="0"/>
    <w:rPr>
      <w:rFonts w:hint="eastAsia" w:ascii="仿宋_GB2312" w:eastAsia="仿宋_GB2312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19</Pages>
  <Words>3026</Words>
  <Characters>3821</Characters>
  <Lines>0</Lines>
  <Paragraphs>0</Paragraphs>
  <TotalTime>1</TotalTime>
  <ScaleCrop>false</ScaleCrop>
  <LinksUpToDate>false</LinksUpToDate>
  <CharactersWithSpaces>3840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2021-04-06T09:13:00Z</dcterms:created>
  <dc:creator>1</dc:creator>
  <cp:lastModifiedBy>Administrator</cp:lastModifiedBy>
  <cp:lastPrinted>2021-04-12T11:54:00Z</cp:lastPrinted>
  <dcterms:modified xsi:type="dcterms:W3CDTF">2026-02-14T07:37:29Z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0CB7CAD62A224489A4DC2B160BB67DB7_13</vt:lpwstr>
  </property>
  <property fmtid="{D5CDD505-2E9C-101B-9397-08002B2CF9AE}" pid="4" name="KSOTemplateDocerSaveRecord">
    <vt:lpwstr>eyJoZGlkIjoiNTRkNzYzODMyZjhiMWE2N2YwNDg3OWIxZTcwZmRjNWIiLCJ1c2VySWQiOiI2ODU3MzYzMDMifQ==</vt:lpwstr>
  </property>
</Properties>
</file>