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20" w:lineRule="exact"/>
        <w:jc w:val="both"/>
        <w:textAlignment w:val="baseline"/>
        <w:rPr>
          <w:rFonts w:hint="eastAsia" w:ascii="仿宋_GB2312" w:hAnsi="仿宋" w:eastAsia="仿宋_GB2312" w:cs="仿宋_GB2312"/>
          <w:b w:val="0"/>
          <w:i w:val="0"/>
          <w:caps w:val="0"/>
          <w:spacing w:val="0"/>
          <w:w w:val="1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20" w:lineRule="exact"/>
        <w:jc w:val="center"/>
        <w:textAlignment w:val="baseline"/>
        <w:rPr>
          <w:rFonts w:hint="eastAsia" w:ascii="宋体" w:hAnsi="宋体" w:eastAsia="宋体" w:cs="宋体"/>
          <w:b w:val="0"/>
          <w:i w:val="0"/>
          <w:caps w:val="0"/>
          <w:spacing w:val="0"/>
          <w:w w:val="100"/>
          <w:kern w:val="0"/>
          <w:sz w:val="44"/>
          <w:szCs w:val="44"/>
        </w:rPr>
      </w:pPr>
      <w:r>
        <w:rPr>
          <w:rFonts w:hint="eastAsia" w:ascii="宋体" w:hAnsi="宋体" w:eastAsia="宋体" w:cs="宋体"/>
          <w:b w:val="0"/>
          <w:i w:val="0"/>
          <w:caps w:val="0"/>
          <w:spacing w:val="0"/>
          <w:w w:val="100"/>
          <w:kern w:val="0"/>
          <w:sz w:val="44"/>
          <w:szCs w:val="44"/>
        </w:rPr>
        <w:t>朔城区20</w:t>
      </w:r>
      <w:r>
        <w:rPr>
          <w:rFonts w:hint="eastAsia" w:ascii="宋体" w:hAnsi="宋体" w:eastAsia="宋体" w:cs="宋体"/>
          <w:b w:val="0"/>
          <w:i w:val="0"/>
          <w:caps w:val="0"/>
          <w:spacing w:val="0"/>
          <w:w w:val="100"/>
          <w:kern w:val="0"/>
          <w:sz w:val="44"/>
          <w:szCs w:val="44"/>
          <w:lang w:val="en-US" w:eastAsia="zh-CN"/>
        </w:rPr>
        <w:t>21</w:t>
      </w:r>
      <w:r>
        <w:rPr>
          <w:rFonts w:hint="eastAsia" w:ascii="宋体" w:hAnsi="宋体" w:eastAsia="宋体" w:cs="宋体"/>
          <w:b w:val="0"/>
          <w:i w:val="0"/>
          <w:caps w:val="0"/>
          <w:spacing w:val="0"/>
          <w:w w:val="100"/>
          <w:kern w:val="0"/>
          <w:sz w:val="44"/>
          <w:szCs w:val="44"/>
        </w:rPr>
        <w:t>年财政预算执行情况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20" w:lineRule="exact"/>
        <w:jc w:val="center"/>
        <w:textAlignment w:val="baseline"/>
        <w:rPr>
          <w:rFonts w:hint="eastAsia" w:ascii="宋体" w:hAnsi="宋体" w:eastAsia="宋体" w:cs="宋体"/>
          <w:b w:val="0"/>
          <w:i w:val="0"/>
          <w:caps w:val="0"/>
          <w:spacing w:val="0"/>
          <w:w w:val="100"/>
          <w:kern w:val="0"/>
          <w:sz w:val="44"/>
          <w:szCs w:val="44"/>
        </w:rPr>
      </w:pPr>
      <w:r>
        <w:rPr>
          <w:rFonts w:hint="eastAsia" w:ascii="宋体" w:hAnsi="宋体" w:eastAsia="宋体" w:cs="宋体"/>
          <w:b w:val="0"/>
          <w:i w:val="0"/>
          <w:caps w:val="0"/>
          <w:spacing w:val="0"/>
          <w:w w:val="100"/>
          <w:kern w:val="0"/>
          <w:sz w:val="44"/>
          <w:szCs w:val="44"/>
        </w:rPr>
        <w:t>和202</w:t>
      </w:r>
      <w:r>
        <w:rPr>
          <w:rFonts w:hint="eastAsia" w:ascii="宋体" w:hAnsi="宋体" w:eastAsia="宋体" w:cs="宋体"/>
          <w:b w:val="0"/>
          <w:i w:val="0"/>
          <w:caps w:val="0"/>
          <w:spacing w:val="0"/>
          <w:w w:val="100"/>
          <w:kern w:val="0"/>
          <w:sz w:val="44"/>
          <w:szCs w:val="44"/>
          <w:lang w:val="en-US" w:eastAsia="zh-CN"/>
        </w:rPr>
        <w:t>2</w:t>
      </w:r>
      <w:r>
        <w:rPr>
          <w:rFonts w:hint="eastAsia" w:ascii="宋体" w:hAnsi="宋体" w:eastAsia="宋体" w:cs="宋体"/>
          <w:b w:val="0"/>
          <w:i w:val="0"/>
          <w:caps w:val="0"/>
          <w:spacing w:val="0"/>
          <w:w w:val="100"/>
          <w:kern w:val="0"/>
          <w:sz w:val="44"/>
          <w:szCs w:val="44"/>
        </w:rPr>
        <w:t>年财政预算（草案）的报告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20" w:lineRule="exact"/>
        <w:jc w:val="center"/>
        <w:textAlignment w:val="baseline"/>
        <w:rPr>
          <w:rFonts w:hint="eastAsia" w:ascii="楷体_GB2312" w:hAnsi="楷体_GB2312" w:eastAsia="楷体_GB2312" w:cs="楷体_GB2312"/>
          <w:b w:val="0"/>
          <w:i w:val="0"/>
          <w:caps w:val="0"/>
          <w:spacing w:val="0"/>
          <w:w w:val="100"/>
          <w:kern w:val="0"/>
          <w:sz w:val="32"/>
          <w:szCs w:val="32"/>
        </w:rPr>
      </w:pPr>
      <w:r>
        <w:rPr>
          <w:rFonts w:hint="eastAsia" w:ascii="楷体_GB2312" w:hAnsi="楷体_GB2312" w:eastAsia="楷体_GB2312" w:cs="楷体_GB2312"/>
          <w:b w:val="0"/>
          <w:i w:val="0"/>
          <w:caps w:val="0"/>
          <w:spacing w:val="0"/>
          <w:w w:val="100"/>
          <w:kern w:val="0"/>
          <w:sz w:val="32"/>
          <w:szCs w:val="32"/>
        </w:rPr>
        <w:t>（202</w:t>
      </w:r>
      <w:r>
        <w:rPr>
          <w:rFonts w:hint="eastAsia" w:ascii="楷体_GB2312" w:hAnsi="楷体_GB2312" w:eastAsia="楷体_GB2312" w:cs="楷体_GB2312"/>
          <w:b w:val="0"/>
          <w:i w:val="0"/>
          <w:caps w:val="0"/>
          <w:spacing w:val="0"/>
          <w:w w:val="100"/>
          <w:kern w:val="0"/>
          <w:sz w:val="32"/>
          <w:szCs w:val="32"/>
          <w:lang w:val="en-US" w:eastAsia="zh-CN"/>
        </w:rPr>
        <w:t>2</w:t>
      </w:r>
      <w:r>
        <w:rPr>
          <w:rFonts w:hint="eastAsia" w:ascii="楷体_GB2312" w:hAnsi="楷体_GB2312" w:eastAsia="楷体_GB2312" w:cs="楷体_GB2312"/>
          <w:b w:val="0"/>
          <w:i w:val="0"/>
          <w:caps w:val="0"/>
          <w:spacing w:val="0"/>
          <w:w w:val="100"/>
          <w:kern w:val="0"/>
          <w:sz w:val="32"/>
          <w:szCs w:val="32"/>
        </w:rPr>
        <w:t>年</w:t>
      </w:r>
      <w:r>
        <w:rPr>
          <w:rFonts w:hint="eastAsia" w:ascii="楷体_GB2312" w:hAnsi="楷体_GB2312" w:eastAsia="楷体_GB2312" w:cs="楷体_GB2312"/>
          <w:b w:val="0"/>
          <w:i w:val="0"/>
          <w:caps w:val="0"/>
          <w:spacing w:val="0"/>
          <w:w w:val="100"/>
          <w:kern w:val="0"/>
          <w:sz w:val="32"/>
          <w:szCs w:val="32"/>
          <w:lang w:val="en-US" w:eastAsia="zh-CN"/>
        </w:rPr>
        <w:t>5</w:t>
      </w:r>
      <w:r>
        <w:rPr>
          <w:rFonts w:hint="eastAsia" w:ascii="楷体_GB2312" w:hAnsi="楷体_GB2312" w:eastAsia="楷体_GB2312" w:cs="楷体_GB2312"/>
          <w:b w:val="0"/>
          <w:i w:val="0"/>
          <w:caps w:val="0"/>
          <w:spacing w:val="0"/>
          <w:w w:val="100"/>
          <w:kern w:val="0"/>
          <w:sz w:val="32"/>
          <w:szCs w:val="32"/>
        </w:rPr>
        <w:t>月</w:t>
      </w:r>
      <w:r>
        <w:rPr>
          <w:rFonts w:hint="eastAsia" w:ascii="楷体_GB2312" w:hAnsi="楷体_GB2312" w:eastAsia="楷体_GB2312" w:cs="楷体_GB2312"/>
          <w:b w:val="0"/>
          <w:i w:val="0"/>
          <w:caps w:val="0"/>
          <w:spacing w:val="0"/>
          <w:w w:val="100"/>
          <w:kern w:val="0"/>
          <w:sz w:val="32"/>
          <w:szCs w:val="32"/>
          <w:lang w:val="en-US" w:eastAsia="zh-CN"/>
        </w:rPr>
        <w:t>18</w:t>
      </w:r>
      <w:r>
        <w:rPr>
          <w:rFonts w:hint="eastAsia" w:ascii="楷体_GB2312" w:hAnsi="楷体_GB2312" w:eastAsia="楷体_GB2312" w:cs="楷体_GB2312"/>
          <w:b w:val="0"/>
          <w:i w:val="0"/>
          <w:caps w:val="0"/>
          <w:spacing w:val="0"/>
          <w:w w:val="100"/>
          <w:kern w:val="0"/>
          <w:sz w:val="32"/>
          <w:szCs w:val="32"/>
        </w:rPr>
        <w:t>日在朔州</w:t>
      </w:r>
      <w:r>
        <w:rPr>
          <w:rFonts w:hint="eastAsia" w:ascii="楷体_GB2312" w:hAnsi="楷体_GB2312" w:eastAsia="楷体_GB2312" w:cs="楷体_GB2312"/>
          <w:b w:val="0"/>
          <w:i w:val="0"/>
          <w:caps w:val="0"/>
          <w:spacing w:val="0"/>
          <w:w w:val="100"/>
          <w:kern w:val="0"/>
          <w:sz w:val="32"/>
          <w:szCs w:val="32"/>
          <w:lang w:eastAsia="zh-CN"/>
        </w:rPr>
        <w:t>区</w:t>
      </w:r>
      <w:r>
        <w:rPr>
          <w:rFonts w:hint="eastAsia" w:ascii="楷体_GB2312" w:hAnsi="楷体_GB2312" w:eastAsia="楷体_GB2312" w:cs="楷体_GB2312"/>
          <w:b w:val="0"/>
          <w:i w:val="0"/>
          <w:caps w:val="0"/>
          <w:spacing w:val="0"/>
          <w:w w:val="100"/>
          <w:kern w:val="0"/>
          <w:sz w:val="32"/>
          <w:szCs w:val="32"/>
        </w:rPr>
        <w:t>朔城区第</w:t>
      </w:r>
      <w:r>
        <w:rPr>
          <w:rFonts w:hint="eastAsia" w:ascii="楷体_GB2312" w:hAnsi="楷体_GB2312" w:eastAsia="楷体_GB2312" w:cs="楷体_GB2312"/>
          <w:b w:val="0"/>
          <w:i w:val="0"/>
          <w:caps w:val="0"/>
          <w:spacing w:val="0"/>
          <w:w w:val="100"/>
          <w:kern w:val="0"/>
          <w:sz w:val="32"/>
          <w:szCs w:val="32"/>
          <w:lang w:val="en-US" w:eastAsia="zh-CN"/>
        </w:rPr>
        <w:t>九</w:t>
      </w:r>
      <w:r>
        <w:rPr>
          <w:rFonts w:hint="eastAsia" w:ascii="楷体_GB2312" w:hAnsi="楷体_GB2312" w:eastAsia="楷体_GB2312" w:cs="楷体_GB2312"/>
          <w:b w:val="0"/>
          <w:i w:val="0"/>
          <w:caps w:val="0"/>
          <w:spacing w:val="0"/>
          <w:w w:val="100"/>
          <w:kern w:val="0"/>
          <w:sz w:val="32"/>
          <w:szCs w:val="32"/>
        </w:rPr>
        <w:t>届人民代表大会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20" w:lineRule="exact"/>
        <w:jc w:val="center"/>
        <w:textAlignment w:val="baseline"/>
        <w:rPr>
          <w:rFonts w:hint="eastAsia" w:ascii="楷体_GB2312" w:hAnsi="楷体_GB2312" w:eastAsia="楷体_GB2312" w:cs="楷体_GB2312"/>
          <w:b w:val="0"/>
          <w:i w:val="0"/>
          <w:caps w:val="0"/>
          <w:spacing w:val="0"/>
          <w:w w:val="100"/>
          <w:kern w:val="0"/>
          <w:sz w:val="32"/>
          <w:szCs w:val="32"/>
        </w:rPr>
      </w:pPr>
      <w:r>
        <w:rPr>
          <w:rFonts w:hint="eastAsia" w:ascii="楷体_GB2312" w:hAnsi="楷体_GB2312" w:eastAsia="楷体_GB2312" w:cs="楷体_GB2312"/>
          <w:b w:val="0"/>
          <w:i w:val="0"/>
          <w:caps w:val="0"/>
          <w:spacing w:val="0"/>
          <w:w w:val="100"/>
          <w:kern w:val="0"/>
          <w:sz w:val="32"/>
          <w:szCs w:val="32"/>
        </w:rPr>
        <w:t>第</w:t>
      </w:r>
      <w:r>
        <w:rPr>
          <w:rFonts w:hint="eastAsia" w:ascii="楷体_GB2312" w:hAnsi="楷体_GB2312" w:eastAsia="楷体_GB2312" w:cs="楷体_GB2312"/>
          <w:b w:val="0"/>
          <w:i w:val="0"/>
          <w:caps w:val="0"/>
          <w:spacing w:val="0"/>
          <w:w w:val="100"/>
          <w:kern w:val="0"/>
          <w:sz w:val="32"/>
          <w:szCs w:val="32"/>
          <w:lang w:val="en-US" w:eastAsia="zh-CN"/>
        </w:rPr>
        <w:t>三</w:t>
      </w:r>
      <w:r>
        <w:rPr>
          <w:rFonts w:hint="eastAsia" w:ascii="楷体_GB2312" w:hAnsi="楷体_GB2312" w:eastAsia="楷体_GB2312" w:cs="楷体_GB2312"/>
          <w:b w:val="0"/>
          <w:i w:val="0"/>
          <w:caps w:val="0"/>
          <w:spacing w:val="0"/>
          <w:w w:val="100"/>
          <w:kern w:val="0"/>
          <w:sz w:val="32"/>
          <w:szCs w:val="32"/>
        </w:rPr>
        <w:t>次会议上）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20" w:lineRule="exact"/>
        <w:jc w:val="center"/>
        <w:textAlignment w:val="baseline"/>
        <w:rPr>
          <w:rFonts w:ascii="仿宋" w:hAnsi="仿宋" w:cs="Times New Roman"/>
          <w:b w:val="0"/>
          <w:i w:val="0"/>
          <w:caps w:val="0"/>
          <w:spacing w:val="0"/>
          <w:w w:val="1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20" w:lineRule="exact"/>
        <w:jc w:val="center"/>
        <w:textAlignment w:val="baseline"/>
        <w:rPr>
          <w:rFonts w:ascii="楷体_GB2312" w:hAnsi="仿宋" w:eastAsia="楷体_GB2312" w:cs="Times New Roman"/>
          <w:b w:val="0"/>
          <w:i w:val="0"/>
          <w:caps w:val="0"/>
          <w:spacing w:val="0"/>
          <w:w w:val="100"/>
          <w:kern w:val="0"/>
          <w:sz w:val="32"/>
          <w:szCs w:val="32"/>
        </w:rPr>
      </w:pPr>
      <w:r>
        <w:rPr>
          <w:rFonts w:hint="eastAsia" w:ascii="楷体_GB2312" w:hAnsi="仿宋" w:eastAsia="楷体_GB2312" w:cs="仿宋_GB2312"/>
          <w:b w:val="0"/>
          <w:i w:val="0"/>
          <w:caps w:val="0"/>
          <w:spacing w:val="0"/>
          <w:w w:val="100"/>
          <w:kern w:val="0"/>
          <w:sz w:val="32"/>
          <w:szCs w:val="32"/>
        </w:rPr>
        <w:t>朔城区财政局局长</w:t>
      </w:r>
      <w:r>
        <w:rPr>
          <w:rFonts w:hint="eastAsia" w:ascii="楷体_GB2312" w:hAnsi="仿宋" w:eastAsia="楷体_GB2312" w:cs="仿宋_GB2312"/>
          <w:b w:val="0"/>
          <w:i w:val="0"/>
          <w:caps w:val="0"/>
          <w:spacing w:val="0"/>
          <w:w w:val="100"/>
          <w:kern w:val="0"/>
          <w:sz w:val="32"/>
          <w:szCs w:val="32"/>
          <w:lang w:val="en-US" w:eastAsia="zh-CN"/>
        </w:rPr>
        <w:t xml:space="preserve">  </w:t>
      </w:r>
      <w:r>
        <w:rPr>
          <w:rFonts w:hint="eastAsia" w:ascii="楷体_GB2312" w:hAnsi="仿宋" w:eastAsia="楷体_GB2312" w:cs="仿宋_GB2312"/>
          <w:b w:val="0"/>
          <w:i w:val="0"/>
          <w:caps w:val="0"/>
          <w:spacing w:val="0"/>
          <w:w w:val="100"/>
          <w:kern w:val="0"/>
          <w:sz w:val="32"/>
          <w:szCs w:val="32"/>
        </w:rPr>
        <w:t>周庆山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20" w:lineRule="exact"/>
        <w:jc w:val="both"/>
        <w:textAlignment w:val="baseline"/>
        <w:rPr>
          <w:rFonts w:ascii="仿宋" w:hAnsi="仿宋" w:cs="仿宋_GB2312"/>
          <w:b w:val="0"/>
          <w:i w:val="0"/>
          <w:caps w:val="0"/>
          <w:spacing w:val="0"/>
          <w:w w:val="100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20" w:lineRule="exact"/>
        <w:jc w:val="both"/>
        <w:textAlignment w:val="baseline"/>
        <w:rPr>
          <w:rFonts w:ascii="仿宋_GB2312" w:hAnsi="仿宋" w:eastAsia="仿宋_GB2312" w:cs="仿宋_GB2312"/>
          <w:b w:val="0"/>
          <w:i w:val="0"/>
          <w:caps w:val="0"/>
          <w:spacing w:val="0"/>
          <w:w w:val="100"/>
          <w:kern w:val="0"/>
          <w:sz w:val="32"/>
          <w:szCs w:val="32"/>
        </w:rPr>
      </w:pPr>
      <w:r>
        <w:rPr>
          <w:rFonts w:hint="eastAsia" w:ascii="仿宋_GB2312" w:hAnsi="仿宋" w:eastAsia="仿宋_GB2312" w:cs="仿宋_GB2312"/>
          <w:b w:val="0"/>
          <w:i w:val="0"/>
          <w:caps w:val="0"/>
          <w:spacing w:val="0"/>
          <w:w w:val="100"/>
          <w:kern w:val="0"/>
          <w:sz w:val="32"/>
          <w:szCs w:val="32"/>
        </w:rPr>
        <w:t>各位代表: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20" w:lineRule="exact"/>
        <w:ind w:firstLine="640" w:firstLineChars="200"/>
        <w:jc w:val="both"/>
        <w:textAlignment w:val="baseline"/>
        <w:rPr>
          <w:rFonts w:ascii="仿宋_GB2312" w:hAnsi="仿宋" w:eastAsia="仿宋_GB2312" w:cs="Times New Roman"/>
          <w:b w:val="0"/>
          <w:i w:val="0"/>
          <w:caps w:val="0"/>
          <w:spacing w:val="0"/>
          <w:w w:val="100"/>
          <w:kern w:val="0"/>
          <w:sz w:val="32"/>
          <w:szCs w:val="32"/>
        </w:rPr>
      </w:pPr>
      <w:r>
        <w:rPr>
          <w:rFonts w:hint="eastAsia" w:ascii="仿宋_GB2312" w:hAnsi="仿宋" w:eastAsia="仿宋_GB2312" w:cs="仿宋_GB2312"/>
          <w:b w:val="0"/>
          <w:i w:val="0"/>
          <w:caps w:val="0"/>
          <w:spacing w:val="0"/>
          <w:w w:val="100"/>
          <w:kern w:val="0"/>
          <w:sz w:val="32"/>
          <w:szCs w:val="32"/>
        </w:rPr>
        <w:t>受区人民政府委托，我向大会报告朔城区20</w:t>
      </w:r>
      <w:r>
        <w:rPr>
          <w:rFonts w:hint="eastAsia" w:ascii="仿宋_GB2312" w:hAnsi="仿宋" w:eastAsia="仿宋_GB2312" w:cs="仿宋_GB2312"/>
          <w:b w:val="0"/>
          <w:i w:val="0"/>
          <w:caps w:val="0"/>
          <w:spacing w:val="0"/>
          <w:w w:val="100"/>
          <w:kern w:val="0"/>
          <w:sz w:val="32"/>
          <w:szCs w:val="32"/>
          <w:lang w:val="en-US" w:eastAsia="zh-CN"/>
        </w:rPr>
        <w:t>21</w:t>
      </w:r>
      <w:r>
        <w:rPr>
          <w:rFonts w:hint="eastAsia" w:ascii="仿宋_GB2312" w:hAnsi="仿宋" w:eastAsia="仿宋_GB2312" w:cs="仿宋_GB2312"/>
          <w:b w:val="0"/>
          <w:i w:val="0"/>
          <w:caps w:val="0"/>
          <w:spacing w:val="0"/>
          <w:w w:val="100"/>
          <w:kern w:val="0"/>
          <w:sz w:val="32"/>
          <w:szCs w:val="32"/>
        </w:rPr>
        <w:t>年财政预算执行情况和202</w:t>
      </w:r>
      <w:r>
        <w:rPr>
          <w:rFonts w:hint="eastAsia" w:ascii="仿宋_GB2312" w:hAnsi="仿宋" w:eastAsia="仿宋_GB2312" w:cs="仿宋_GB2312"/>
          <w:b w:val="0"/>
          <w:i w:val="0"/>
          <w:caps w:val="0"/>
          <w:spacing w:val="0"/>
          <w:w w:val="100"/>
          <w:kern w:val="0"/>
          <w:sz w:val="32"/>
          <w:szCs w:val="32"/>
          <w:lang w:val="en-US" w:eastAsia="zh-CN"/>
        </w:rPr>
        <w:t>2</w:t>
      </w:r>
      <w:r>
        <w:rPr>
          <w:rFonts w:hint="eastAsia" w:ascii="仿宋_GB2312" w:hAnsi="仿宋" w:eastAsia="仿宋_GB2312" w:cs="仿宋_GB2312"/>
          <w:b w:val="0"/>
          <w:i w:val="0"/>
          <w:caps w:val="0"/>
          <w:spacing w:val="0"/>
          <w:w w:val="100"/>
          <w:kern w:val="0"/>
          <w:sz w:val="32"/>
          <w:szCs w:val="32"/>
        </w:rPr>
        <w:t>年财政预算草案，请予审议</w:t>
      </w:r>
      <w:r>
        <w:rPr>
          <w:rFonts w:hint="eastAsia" w:ascii="仿宋_GB2312" w:hAnsi="仿宋" w:eastAsia="仿宋_GB2312" w:cs="仿宋_GB2312"/>
          <w:b w:val="0"/>
          <w:i w:val="0"/>
          <w:caps w:val="0"/>
          <w:spacing w:val="0"/>
          <w:w w:val="100"/>
          <w:kern w:val="0"/>
          <w:sz w:val="32"/>
          <w:szCs w:val="32"/>
          <w:lang w:eastAsia="zh-CN"/>
        </w:rPr>
        <w:t>，</w:t>
      </w:r>
      <w:r>
        <w:rPr>
          <w:rFonts w:hint="eastAsia" w:ascii="仿宋_GB2312" w:hAnsi="仿宋" w:eastAsia="仿宋_GB2312" w:cs="仿宋_GB2312"/>
          <w:b w:val="0"/>
          <w:i w:val="0"/>
          <w:caps w:val="0"/>
          <w:spacing w:val="0"/>
          <w:w w:val="100"/>
          <w:kern w:val="0"/>
          <w:sz w:val="32"/>
          <w:szCs w:val="32"/>
        </w:rPr>
        <w:t>并请各位政协委员和列席人员提出意见。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20" w:lineRule="exact"/>
        <w:ind w:firstLine="640" w:firstLineChars="200"/>
        <w:jc w:val="both"/>
        <w:textAlignment w:val="baseline"/>
        <w:rPr>
          <w:rFonts w:ascii="黑体" w:hAnsi="仿宋" w:eastAsia="黑体" w:cs="Calibri"/>
          <w:b w:val="0"/>
          <w:i w:val="0"/>
          <w:caps w:val="0"/>
          <w:spacing w:val="0"/>
          <w:w w:val="100"/>
          <w:sz w:val="32"/>
          <w:szCs w:val="32"/>
        </w:rPr>
      </w:pPr>
      <w:r>
        <w:rPr>
          <w:rFonts w:hint="eastAsia" w:ascii="黑体" w:hAnsi="仿宋" w:eastAsia="黑体" w:cs="Calibri"/>
          <w:b w:val="0"/>
          <w:i w:val="0"/>
          <w:caps w:val="0"/>
          <w:spacing w:val="0"/>
          <w:w w:val="100"/>
          <w:sz w:val="32"/>
          <w:szCs w:val="32"/>
        </w:rPr>
        <w:t>一、20</w:t>
      </w:r>
      <w:r>
        <w:rPr>
          <w:rFonts w:hint="eastAsia" w:ascii="黑体" w:hAnsi="仿宋" w:eastAsia="黑体" w:cs="Calibri"/>
          <w:b w:val="0"/>
          <w:i w:val="0"/>
          <w:caps w:val="0"/>
          <w:spacing w:val="0"/>
          <w:w w:val="100"/>
          <w:sz w:val="32"/>
          <w:szCs w:val="32"/>
          <w:lang w:val="en-US" w:eastAsia="zh-CN"/>
        </w:rPr>
        <w:t>21</w:t>
      </w:r>
      <w:r>
        <w:rPr>
          <w:rFonts w:hint="eastAsia" w:ascii="黑体" w:hAnsi="仿宋" w:eastAsia="黑体" w:cs="Calibri"/>
          <w:b w:val="0"/>
          <w:i w:val="0"/>
          <w:caps w:val="0"/>
          <w:spacing w:val="0"/>
          <w:w w:val="100"/>
          <w:sz w:val="32"/>
          <w:szCs w:val="32"/>
        </w:rPr>
        <w:t>年全区财政预算执行情况</w:t>
      </w:r>
    </w:p>
    <w:p>
      <w:pPr>
        <w:keepNext w:val="0"/>
        <w:keepLines w:val="0"/>
        <w:pageBreakBefore w:val="0"/>
        <w:widowControl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jc w:val="both"/>
        <w:textAlignment w:val="auto"/>
        <w:outlineLvl w:val="9"/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2021年，面对错综复杂的经济环境和新冠疫情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冲击</w:t>
      </w:r>
      <w:r>
        <w:rPr>
          <w:rFonts w:hint="eastAsia" w:ascii="仿宋_GB2312" w:hAnsi="仿宋_GB2312" w:eastAsia="仿宋_GB2312" w:cs="仿宋_GB2312"/>
          <w:sz w:val="32"/>
          <w:szCs w:val="32"/>
        </w:rPr>
        <w:t>等诸多困难挑战，</w:t>
      </w:r>
      <w:r>
        <w:rPr>
          <w:rFonts w:hint="default" w:ascii="Times New Roman" w:hAnsi="Times New Roman" w:eastAsia="仿宋_GB2312" w:cs="Times New Roman"/>
          <w:sz w:val="32"/>
          <w:szCs w:val="32"/>
        </w:rPr>
        <w:t>财政工作在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区委、区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政府的坚强领导下，始终坚持以习近平新时代中国特色社会主义思想为指导，深入学习贯彻习近平总书记视察山西重要讲话重要指示精神，全面落实中央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、省委、市委和区委</w:t>
      </w:r>
      <w:r>
        <w:rPr>
          <w:rFonts w:hint="default" w:ascii="Times New Roman" w:hAnsi="Times New Roman" w:eastAsia="仿宋_GB2312" w:cs="Times New Roman"/>
          <w:sz w:val="32"/>
          <w:szCs w:val="32"/>
        </w:rPr>
        <w:t>经济工作会议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精神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，坚持稳中求进总基调，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聚焦全区中心任务、重点工作和重大项目，强化使命担当，狠抓主责主业，强力推进收入组织、支出保障、风险防范、财政改革和监督管理，为全区社会稳定和经济发展大局提供有力支撑和保障，实现“十四五”良好开局。</w:t>
      </w:r>
    </w:p>
    <w:p>
      <w:pPr>
        <w:keepNext w:val="0"/>
        <w:keepLines w:val="0"/>
        <w:pageBreakBefore w:val="0"/>
        <w:widowControl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jc w:val="both"/>
        <w:textAlignment w:val="auto"/>
        <w:outlineLvl w:val="9"/>
        <w:rPr>
          <w:rFonts w:hint="eastAsia" w:ascii="楷体_GB2312" w:hAnsi="楷体_GB2312" w:eastAsia="楷体_GB2312" w:cs="楷体_GB2312"/>
          <w:sz w:val="32"/>
          <w:szCs w:val="32"/>
          <w:lang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eastAsia="zh-CN"/>
        </w:rPr>
        <w:t>（一）一般公共预算执行情况</w:t>
      </w:r>
    </w:p>
    <w:p>
      <w:pPr>
        <w:keepNext w:val="0"/>
        <w:keepLines w:val="0"/>
        <w:pageBreakBefore w:val="0"/>
        <w:widowControl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2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1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收入情况</w:t>
      </w:r>
    </w:p>
    <w:p>
      <w:pPr>
        <w:keepNext w:val="0"/>
        <w:keepLines w:val="0"/>
        <w:pageBreakBefore w:val="0"/>
        <w:widowControl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2021年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区本级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一般公共预算收入完成93426万元，为年初预算的120.55%，同比增长26.61%。其中:税收收入完成68883万元，为年初预算70500万元的97.71%，同比增长42.76%，短收1617万元。非税收入完成24543万元，为年初预算7000万元的350.61%，同比下降3.90%，增收17543万元。</w:t>
      </w:r>
    </w:p>
    <w:p>
      <w:pPr>
        <w:keepNext w:val="0"/>
        <w:keepLines w:val="0"/>
        <w:pageBreakBefore w:val="0"/>
        <w:widowControl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税收收入完成68883万元，其中：增值税完成24200万元，为年初预算的100.83%，同比增长40.82%；企业所得税完成3433万元，为年初预算的92.78%，同比增长88.73%；个人所得税完成909万元，为年初预算的60.60%，同比增长15.21%%；资源税完成5280万元，为年初预算的96%，同比增长63.27%；城市维护建设税完成6219万元，为年初预算的113.07%，同比增长43.39%；房产税完成2112万元，为年初预算的64%，同比下降2.22%；印花税完成1597万元，为年初预算的63.88%，同比增长21.26%；城镇土地使用税完成3234万元，为年初预算的49.75%，同比下降37.26%；土地增值税完成8116万元，为年初预算的147.56%，同比增长98.34%；车船税完成3046万元，为年初预算的67.69%，同比下降14%；耕地占用税完成486万元，为年初预算的27%，同比下降49.64%；契税完成9995万元，为年初预算的181.73%，同比增长191.40%；环境保护税完成256万元，为年初预算的36.57%，同比增长12.78%。</w:t>
      </w:r>
    </w:p>
    <w:p>
      <w:pPr>
        <w:keepNext w:val="0"/>
        <w:keepLines w:val="0"/>
        <w:pageBreakBefore w:val="0"/>
        <w:widowControl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非税收入完成24543万元，其中：专项收入完成10564万元，为年初预算的301.83%，同比增长246.59%；行政性收费收入完成2036万元，为年初预算的783.08%，同比下降66.30%；罚没收入完成6282万元，为年初预算的418.80%，同比增长308.19%；国有资产有偿使用收入完成3270万元，为年初预算的204.38%，同比下降77.88%；政府住房基金收入191万元，其他收入2200万元。</w:t>
      </w:r>
    </w:p>
    <w:p>
      <w:pPr>
        <w:keepNext w:val="0"/>
        <w:keepLines w:val="0"/>
        <w:pageBreakBefore w:val="0"/>
        <w:widowControl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2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2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支出情况</w:t>
      </w:r>
    </w:p>
    <w:p>
      <w:pPr>
        <w:keepNext w:val="0"/>
        <w:keepLines w:val="0"/>
        <w:pageBreakBefore w:val="0"/>
        <w:widowControl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2021年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全区一般公共预算支出296721万元，为调整预算的88.29%，同比增长0.33%。其中：</w:t>
      </w:r>
    </w:p>
    <w:p>
      <w:pPr>
        <w:keepNext w:val="0"/>
        <w:keepLines w:val="0"/>
        <w:pageBreakBefore w:val="0"/>
        <w:widowControl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一般公共服务支出31964万元，为调整预算的98.93%，同比增长6.46%；国防支出2445万元，为调整预算的100%，同比增长840.38%；公共安全支出2607万元，为调整预算的97.17%，同比增长16.28%；教育支出62170万元，为调整预算的80.25%，同比下降1.63%；科学技术支出1126万元，为调整预算的97.32%，同比增长309.45%;文化体育与传媒支出2644万元，为调整预算的99.85%，同比下降37.23%；社会保障和就业支出47770万元，为调整预算的99.31%，同比增长11.64%；卫生健康支出22983万元，为调整预算的90.50%，同比下降11.40%；节能环保支出17621万元，为调整预算的68.53%，同比下降30.34%；城乡社区事务支出24337万元，为调整预算的96.52%，同比增长51.93%；农林水支出40349万元，为调整预算的89.37%，同比下降21.15%；交通运输支出6393万元，为调整预算的65.85%，同比增长118.94%；资源勘探信息等支出6230万元，为调整预算的100%，同比增长890.46%；商业服务业等支出400万元，为调整预算的99.26%，同比增长8.40%；金融支出1000万元，为调整预算的100%；自然资源海洋气象等支出8967万元，为调整预算的99.92%，同比增长201.51%；住房保障支出11987万元，为调整预算的84.79%，同比下降45.83%；粮油物资储备支出353万元，为调整预算的100%，同比下降33.77%；灾害防治及应急管理支出3522万元，为调整预算的69.07%，同比增长10.82%；其他支出281万元，为调整预算的90.94%，同比增长15.16%；债务付息支出1563万元，为调整预算的100%，同比增长18.23%；债务发行费用支出9万元，为调整预算的100%，同比下降35.71%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2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平衡情况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2021年全区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一般公共预算收入93426万元；上级转移支付收入209203万元（其中：返还性收入14504万元、一般性转移支付收入141217万元、专项移支付收入53482万元）；上年结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eastAsia="zh-CN"/>
        </w:rPr>
        <w:t>余24213万元；债务转贷收入13284万元；动用预算稳定调节基金23844万元；调入资金7847万元。全年收入总计371817万元。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2021年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一般公共预算支出296721万元，上解支出13109万元，债务还本支出5147万元，安排预算稳定调节基金17484万元，全年支出总计332461万元。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</w:pPr>
      <w:r>
        <w:rPr>
          <w:rFonts w:hint="eastAsia" w:ascii="仿宋_GB2312" w:hAnsi="仿宋" w:eastAsia="仿宋_GB2312" w:cs="Calibri"/>
          <w:b w:val="0"/>
          <w:i w:val="0"/>
          <w:caps w:val="0"/>
          <w:color w:val="000000"/>
          <w:spacing w:val="0"/>
          <w:w w:val="100"/>
          <w:sz w:val="32"/>
          <w:szCs w:val="32"/>
        </w:rPr>
        <w:t>收支相抵</w:t>
      </w:r>
      <w:r>
        <w:rPr>
          <w:rFonts w:hint="eastAsia" w:ascii="仿宋_GB2312" w:hAnsi="仿宋" w:eastAsia="仿宋_GB2312" w:cs="Calibri"/>
          <w:b w:val="0"/>
          <w:i w:val="0"/>
          <w:caps w:val="0"/>
          <w:color w:val="000000"/>
          <w:spacing w:val="0"/>
          <w:w w:val="100"/>
          <w:sz w:val="32"/>
          <w:szCs w:val="32"/>
          <w:lang w:eastAsia="zh-CN"/>
        </w:rPr>
        <w:t>结余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39356万元，结转下年。</w:t>
      </w:r>
    </w:p>
    <w:p>
      <w:pPr>
        <w:keepNext w:val="0"/>
        <w:keepLines w:val="0"/>
        <w:pageBreakBefore w:val="0"/>
        <w:widowControl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jc w:val="both"/>
        <w:textAlignment w:val="auto"/>
        <w:outlineLvl w:val="9"/>
        <w:rPr>
          <w:rFonts w:hint="eastAsia" w:ascii="楷体_GB2312" w:hAnsi="楷体_GB2312" w:eastAsia="楷体_GB2312" w:cs="楷体_GB2312"/>
          <w:sz w:val="32"/>
          <w:szCs w:val="32"/>
          <w:lang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eastAsia="zh-CN"/>
        </w:rPr>
        <w:t>（二）政府性基金预算执行情况</w:t>
      </w:r>
    </w:p>
    <w:p>
      <w:pPr>
        <w:keepNext w:val="0"/>
        <w:keepLines w:val="0"/>
        <w:pageBreakBefore w:val="0"/>
        <w:widowControl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1、2021年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全区政府性基金收入完成67556万元，其中：区本级当年完成39721万元，为年初预算的180.32%，同比下降6.06%；上级转移性支付收入1955万元；债务转贷收入13921万元；上年结余11959万元。</w:t>
      </w:r>
    </w:p>
    <w:p>
      <w:pPr>
        <w:keepNext w:val="0"/>
        <w:keepLines w:val="0"/>
        <w:pageBreakBefore w:val="0"/>
        <w:widowControl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jc w:val="both"/>
        <w:textAlignment w:val="auto"/>
        <w:outlineLvl w:val="9"/>
        <w:rPr>
          <w:rFonts w:hint="default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2、2021年</w:t>
      </w:r>
      <w:r>
        <w:rPr>
          <w:rFonts w:hint="default" w:ascii="仿宋_GB2312" w:hAnsi="仿宋_GB2312" w:eastAsia="仿宋_GB2312" w:cs="仿宋_GB2312"/>
          <w:sz w:val="32"/>
          <w:szCs w:val="32"/>
          <w:lang w:eastAsia="zh-CN"/>
        </w:rPr>
        <w:t>全区政府性基金支出63123万元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default" w:ascii="仿宋_GB2312" w:hAnsi="仿宋_GB2312" w:eastAsia="仿宋_GB2312" w:cs="仿宋_GB2312"/>
          <w:sz w:val="32"/>
          <w:szCs w:val="32"/>
          <w:lang w:eastAsia="zh-CN"/>
        </w:rPr>
        <w:t>其中：当年支出57194万元，为调整预算的92.81%，同比增长75.86%；调入一般公共预算资金8万元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；</w:t>
      </w:r>
      <w:r>
        <w:rPr>
          <w:rFonts w:hint="default" w:ascii="仿宋_GB2312" w:hAnsi="仿宋_GB2312" w:eastAsia="仿宋_GB2312" w:cs="仿宋_GB2312"/>
          <w:sz w:val="32"/>
          <w:szCs w:val="32"/>
          <w:lang w:eastAsia="zh-CN"/>
        </w:rPr>
        <w:t>债务还本支出5921万元。</w:t>
      </w:r>
    </w:p>
    <w:p>
      <w:pPr>
        <w:keepNext w:val="0"/>
        <w:keepLines w:val="0"/>
        <w:pageBreakBefore w:val="0"/>
        <w:widowControl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jc w:val="both"/>
        <w:textAlignment w:val="auto"/>
        <w:outlineLvl w:val="9"/>
        <w:rPr>
          <w:rFonts w:hint="default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3、</w:t>
      </w:r>
      <w:r>
        <w:rPr>
          <w:rFonts w:hint="eastAsia" w:ascii="仿宋_GB2312" w:hAnsi="仿宋" w:eastAsia="仿宋_GB2312" w:cs="Calibri"/>
          <w:b w:val="0"/>
          <w:i w:val="0"/>
          <w:caps w:val="0"/>
          <w:color w:val="000000"/>
          <w:spacing w:val="0"/>
          <w:w w:val="100"/>
          <w:sz w:val="32"/>
          <w:szCs w:val="32"/>
        </w:rPr>
        <w:t>年底收支相抵结余</w:t>
      </w:r>
      <w:r>
        <w:rPr>
          <w:rFonts w:hint="default" w:ascii="仿宋_GB2312" w:hAnsi="仿宋_GB2312" w:eastAsia="仿宋_GB2312" w:cs="仿宋_GB2312"/>
          <w:sz w:val="32"/>
          <w:szCs w:val="32"/>
          <w:lang w:eastAsia="zh-CN"/>
        </w:rPr>
        <w:t>4433万元，结转下年。</w:t>
      </w:r>
    </w:p>
    <w:p>
      <w:pPr>
        <w:keepNext w:val="0"/>
        <w:keepLines w:val="0"/>
        <w:pageBreakBefore w:val="0"/>
        <w:widowControl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jc w:val="both"/>
        <w:textAlignment w:val="auto"/>
        <w:outlineLvl w:val="9"/>
        <w:rPr>
          <w:rFonts w:hint="eastAsia" w:ascii="楷体_GB2312" w:hAnsi="楷体_GB2312" w:eastAsia="楷体_GB2312" w:cs="楷体_GB2312"/>
          <w:sz w:val="32"/>
          <w:szCs w:val="32"/>
          <w:lang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eastAsia="zh-CN"/>
        </w:rPr>
        <w:t>（三）社会保险基金预算执行情况</w:t>
      </w:r>
    </w:p>
    <w:p>
      <w:pPr>
        <w:keepNext w:val="0"/>
        <w:keepLines w:val="0"/>
        <w:pageBreakBefore w:val="0"/>
        <w:widowControl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全区社会保险基金预算收入完成31880万元，年初结余36889万元，支出33762万元，年底滚存结余35007万元。</w:t>
      </w:r>
    </w:p>
    <w:p>
      <w:pPr>
        <w:keepNext w:val="0"/>
        <w:keepLines w:val="0"/>
        <w:pageBreakBefore w:val="0"/>
        <w:widowControl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主要收支项目执行情况包括：城乡居民基本养老保险基金收入10896万元，支出7397万元；机关事业单位基本养老保险基金收入20984万元，支出26365万元。</w:t>
      </w:r>
    </w:p>
    <w:p>
      <w:pPr>
        <w:keepNext w:val="0"/>
        <w:keepLines w:val="0"/>
        <w:pageBreakBefore w:val="0"/>
        <w:widowControl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jc w:val="both"/>
        <w:textAlignment w:val="auto"/>
        <w:outlineLvl w:val="9"/>
        <w:rPr>
          <w:rFonts w:hint="eastAsia" w:ascii="楷体_GB2312" w:hAnsi="楷体_GB2312" w:eastAsia="楷体_GB2312" w:cs="楷体_GB2312"/>
          <w:sz w:val="32"/>
          <w:szCs w:val="32"/>
          <w:lang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eastAsia="zh-CN"/>
        </w:rPr>
        <w:t>（四）国有资本经营预算执行情况</w:t>
      </w:r>
    </w:p>
    <w:p>
      <w:pPr>
        <w:keepNext w:val="0"/>
        <w:keepLines w:val="0"/>
        <w:pageBreakBefore w:val="0"/>
        <w:widowControl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国有资本经营预算收入98万元，其中：上年结余45万元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上级补助收入53万元。国有资本经营预算支出98万元，年终没有结余。</w:t>
      </w:r>
    </w:p>
    <w:p>
      <w:pPr>
        <w:keepNext w:val="0"/>
        <w:keepLines w:val="0"/>
        <w:pageBreakBefore w:val="0"/>
        <w:widowControl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jc w:val="both"/>
        <w:textAlignment w:val="auto"/>
        <w:outlineLvl w:val="9"/>
        <w:rPr>
          <w:rFonts w:hint="eastAsia" w:ascii="楷体_GB2312" w:hAnsi="楷体_GB2312" w:eastAsia="楷体_GB2312" w:cs="楷体_GB2312"/>
          <w:sz w:val="32"/>
          <w:szCs w:val="32"/>
          <w:lang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eastAsia="zh-CN"/>
        </w:rPr>
        <w:t>（五）债务情况</w:t>
      </w:r>
    </w:p>
    <w:p>
      <w:pPr>
        <w:keepNext w:val="0"/>
        <w:keepLines w:val="0"/>
        <w:pageBreakBefore w:val="0"/>
        <w:widowControl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2021年底，全区政府债务余额114965万元，控制在市财政局下达的债务限额之内，政府债务率为26.16%。</w:t>
      </w:r>
    </w:p>
    <w:p>
      <w:pPr>
        <w:keepNext w:val="0"/>
        <w:keepLines w:val="0"/>
        <w:pageBreakBefore w:val="0"/>
        <w:widowControl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jc w:val="both"/>
        <w:textAlignment w:val="auto"/>
        <w:outlineLvl w:val="9"/>
        <w:rPr>
          <w:rFonts w:hint="eastAsia" w:ascii="楷体_GB2312" w:hAnsi="楷体_GB2312" w:eastAsia="楷体_GB2312" w:cs="楷体_GB2312"/>
          <w:sz w:val="32"/>
          <w:szCs w:val="32"/>
          <w:lang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eastAsia="zh-CN"/>
        </w:rPr>
        <w:t>（六）落实区九届人大一次会议有关决议情况</w:t>
      </w:r>
    </w:p>
    <w:p>
      <w:pPr>
        <w:keepNext w:val="0"/>
        <w:keepLines w:val="0"/>
        <w:pageBreakBefore w:val="0"/>
        <w:widowControl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按照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区九届人大一次会议有关决议和区人大财政经济委员会的审查意见，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主要从以下几个方面做好财政工作。</w:t>
      </w:r>
    </w:p>
    <w:p>
      <w:pPr>
        <w:keepNext w:val="0"/>
        <w:keepLines w:val="0"/>
        <w:pageBreakBefore w:val="0"/>
        <w:widowControl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2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一是强化收入征收。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动态控管重点项目立项、开工、资金使用等涉税信息，及时清理欠税，确保税收足额入库应收尽收。积极争取上级资金和政府债券，支撑我区重点工程和重大项目建设。2021年累计争取中央省市转移支付209203万元，获得新增政府债券16144万元，其中：一般债券资金8144万元，专项债券8000万元。对上级转移支付资金结转一年以上、本级当年预算安排的结余资金全部收回。</w:t>
      </w:r>
    </w:p>
    <w:p>
      <w:pPr>
        <w:keepNext w:val="0"/>
        <w:keepLines w:val="0"/>
        <w:pageBreakBefore w:val="0"/>
        <w:widowControl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2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二是强化助企服务。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聚焦全区产业发展方向，充分发挥财政职能作用，精准有效服务企业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，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全面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落实国家减税降费政策，不断激发市场主体活力，助力企业发展壮大。全年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为企业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减税降费10492万元，同比增加28.5%。</w:t>
      </w:r>
    </w:p>
    <w:p>
      <w:pPr>
        <w:keepNext w:val="0"/>
        <w:keepLines w:val="0"/>
        <w:pageBreakBefore w:val="0"/>
        <w:widowControl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2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eastAsia="zh-CN"/>
        </w:rPr>
        <w:t>三是</w:t>
      </w:r>
      <w:r>
        <w:rPr>
          <w:rFonts w:hint="default" w:ascii="Times New Roman" w:hAnsi="Times New Roman" w:eastAsia="仿宋_GB2312" w:cs="Times New Roman"/>
          <w:b/>
          <w:bCs/>
          <w:sz w:val="32"/>
          <w:szCs w:val="32"/>
          <w:lang w:eastAsia="zh-CN"/>
        </w:rPr>
        <w:t>强化</w:t>
      </w: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eastAsia="zh-CN"/>
        </w:rPr>
        <w:t>攻坚保障。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安排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巩固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拓展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脱贫攻坚战成果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专项资金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363万元，支持开展玉米保险、能繁母猪育肥猪保险、奶牛保险，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推动</w:t>
      </w:r>
      <w:r>
        <w:rPr>
          <w:rFonts w:hint="default" w:ascii="Times New Roman" w:hAnsi="Times New Roman" w:eastAsia="仿宋_GB2312" w:cs="Times New Roman"/>
          <w:sz w:val="32"/>
          <w:szCs w:val="32"/>
          <w:lang w:val="en" w:eastAsia="zh-CN"/>
        </w:rPr>
        <w:t>巩固拓展脱贫攻坚成果同乡村振兴有效衔接</w:t>
      </w:r>
      <w:bookmarkStart w:id="0" w:name="_GoBack"/>
      <w:bookmarkEnd w:id="0"/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。制定《朔城区政府隐性债务及中长期支出责任化解方案》和《朔城区政府性债务风险应急处置预案》，不断健全完善债务风险防范制度体系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化解各类隐性债务70.36万元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助力打赢防范化解政府债务风险攻坚战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。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争取中央冬季清洁取暖补助资金12661.79万元，助力打好污染防治攻坚战。</w:t>
      </w:r>
    </w:p>
    <w:p>
      <w:pPr>
        <w:keepNext w:val="0"/>
        <w:keepLines w:val="0"/>
        <w:pageBreakBefore w:val="0"/>
        <w:widowControl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2" w:firstLineChars="200"/>
        <w:jc w:val="both"/>
        <w:textAlignment w:val="auto"/>
        <w:outlineLvl w:val="9"/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eastAsia="zh-CN"/>
        </w:rPr>
        <w:t>四是强化民生保障。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全区社保、教育、医疗卫生等民生支出执行247216万元，占一般公共预算支出的83.32%，有力地增强了人民群众的获得感、幸福感、安全感。安排资金33131.88万元用于提高居民基本养老保险、医疗保险、农村低保等民生保障标准，达到省定水平。安排资金1836.09万元推动人才强区战略的实施。全区教育一般公共预算投入77484万元。下达学生饮用奶资金370.41万元，惠及全区义务教育阶段中小学寄宿学生1.05万人。下达资金915.3万元落实区直中小学班主任津贴。</w:t>
      </w:r>
    </w:p>
    <w:p>
      <w:pPr>
        <w:keepNext w:val="0"/>
        <w:keepLines w:val="0"/>
        <w:pageBreakBefore w:val="0"/>
        <w:widowControl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2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eastAsia="zh-CN"/>
        </w:rPr>
        <w:t>五是强化采购管理。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建设政府采购电子平台，开通在线监管功能，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畅通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投诉渠道，进一步提高采购效率和透明度。围绕规范采购流程，对采购人和代理机构进行培训，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累计培训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240余人。</w:t>
      </w:r>
    </w:p>
    <w:p>
      <w:pPr>
        <w:keepNext w:val="0"/>
        <w:keepLines w:val="0"/>
        <w:pageBreakBefore w:val="0"/>
        <w:widowControl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2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eastAsia="zh-CN"/>
        </w:rPr>
        <w:t>六是强化</w:t>
      </w:r>
      <w:r>
        <w:rPr>
          <w:rFonts w:hint="default" w:ascii="Times New Roman" w:hAnsi="Times New Roman" w:eastAsia="仿宋_GB2312" w:cs="Times New Roman"/>
          <w:b/>
          <w:bCs/>
          <w:sz w:val="32"/>
          <w:szCs w:val="32"/>
          <w:lang w:eastAsia="zh-CN"/>
        </w:rPr>
        <w:t>财政改革</w:t>
      </w: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eastAsia="zh-CN"/>
        </w:rPr>
        <w:t>。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积极推进预算管理一体化工作，系统上线以来，校验审核预算资金7434笔，397802万元。全面实施预算绩效管理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建立完善涵盖绩效目标、绩效跟踪、绩效评价、结果运用全过程的预算绩效管理制度体系。完成258个项目预算绩效评价工作，涉及资金137800万元。</w:t>
      </w:r>
    </w:p>
    <w:p>
      <w:pPr>
        <w:keepNext w:val="0"/>
        <w:keepLines w:val="0"/>
        <w:pageBreakBefore w:val="0"/>
        <w:widowControl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在肯定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成绩的同时，我们也清醒认识到，当前财政运行中还存在一些突出矛盾和问题。比如，财政收入对煤炭产业、房地产行业依赖程度较高，持续稳定增收的基础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还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不够牢固；收支矛盾突出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依法理财、科学理财的水平不够高等。对此，我们将积极采取措施认真加以解决，也恳请各位代表、委员一如既往地对财政工作给予指导和支持。</w:t>
      </w:r>
    </w:p>
    <w:p>
      <w:pPr>
        <w:keepNext w:val="0"/>
        <w:keepLines w:val="0"/>
        <w:pageBreakBefore w:val="0"/>
        <w:widowControl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jc w:val="both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二、2022年预算草案</w:t>
      </w:r>
    </w:p>
    <w:p>
      <w:pPr>
        <w:keepNext w:val="0"/>
        <w:keepLines w:val="0"/>
        <w:pageBreakBefore w:val="0"/>
        <w:widowControl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jc w:val="both"/>
        <w:textAlignment w:val="auto"/>
        <w:outlineLvl w:val="9"/>
        <w:rPr>
          <w:rFonts w:hint="eastAsia" w:ascii="楷体_GB2312" w:hAnsi="楷体_GB2312" w:eastAsia="楷体_GB2312" w:cs="楷体_GB2312"/>
          <w:sz w:val="32"/>
          <w:szCs w:val="32"/>
          <w:lang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eastAsia="zh-CN"/>
        </w:rPr>
        <w:t>（一）2022年预算安排总体原则</w:t>
      </w:r>
    </w:p>
    <w:p>
      <w:pPr>
        <w:keepNext w:val="0"/>
        <w:keepLines w:val="0"/>
        <w:pageBreakBefore w:val="0"/>
        <w:widowControl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2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一是科学预测财政收入。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充分考虑目前我区经济企稳向好的大好形势，减税降费、“放管服”改革以及营商环境改善等积极因素，科学合理制定收入计划。加强税收征管，加大非税收入力度，确保应收尽收，做实做强财政收入工作。</w:t>
      </w:r>
    </w:p>
    <w:p>
      <w:pPr>
        <w:keepNext w:val="0"/>
        <w:keepLines w:val="0"/>
        <w:pageBreakBefore w:val="0"/>
        <w:widowControl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2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二是全面实施零基预算。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支出预算编制将彻底消除“支出基数”的概念，紧紧把握项目核心这个关键、实行“四个取消”，取消部门单位预算基数；取消单位项目支出安排与收入挂钩，根据单位支出需求统筹安排预算；取消政策到期项目、一次性项目、没有中央省委省政府或市委市政府政策及区委区政府依据的项目；取消先确定项目预算总额再确定具体项目的编制方式。坚持“六个结合”，将预算安排与事权和支出责任划分相结合、与预算执行进度相结合、与绩效管理相结合、与项目细化程度相结合、与存量资金规模相结合、与审计查出问题相结合。</w:t>
      </w:r>
    </w:p>
    <w:p>
      <w:pPr>
        <w:keepNext w:val="0"/>
        <w:keepLines w:val="0"/>
        <w:pageBreakBefore w:val="0"/>
        <w:widowControl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2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三是集中财力办大事。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紧紧把握项目这个关键，盘活各类财政资金、国有资源和资产，聚焦战略任务安排财政资金。政府带头过“紧日子”，继续压缩一般性支出和“三公”经费预算，严格落实过“紧日子”要求，原则上非刚性运转类支出压减10%。</w:t>
      </w:r>
    </w:p>
    <w:p>
      <w:pPr>
        <w:keepNext w:val="0"/>
        <w:keepLines w:val="0"/>
        <w:pageBreakBefore w:val="0"/>
        <w:widowControl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2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四是积极防范化解政府债务风险。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坚持市场化、法治化原则，积极化解隐性债务存量，坚决遏制隐性债务增量。</w:t>
      </w:r>
    </w:p>
    <w:p>
      <w:pPr>
        <w:keepNext w:val="0"/>
        <w:keepLines w:val="0"/>
        <w:pageBreakBefore w:val="0"/>
        <w:widowControl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2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五是进一步规范财政预算收支和绩效管理。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通过预算管理一体化系统，实现对财政资金“横向到边、纵向到底”的全流程监控，及时发现和纠正财政收支运行中存在的问题。同时，坚持少花钱、多办事、办好事的原则，将绩效管理深度融入预算编制、执行、监督全过程，加强绩效目标管理、绩效运行监控和绩效评价结果运用，大力削减或取消低效无效支出，提高财政资金配置效率和使用效益。</w:t>
      </w:r>
    </w:p>
    <w:p>
      <w:pPr>
        <w:keepNext w:val="0"/>
        <w:keepLines w:val="0"/>
        <w:pageBreakBefore w:val="0"/>
        <w:widowControl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jc w:val="both"/>
        <w:textAlignment w:val="auto"/>
        <w:outlineLvl w:val="9"/>
        <w:rPr>
          <w:rFonts w:hint="eastAsia" w:ascii="楷体_GB2312" w:hAnsi="楷体_GB2312" w:eastAsia="楷体_GB2312" w:cs="楷体_GB2312"/>
          <w:sz w:val="32"/>
          <w:szCs w:val="32"/>
          <w:lang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eastAsia="zh-CN"/>
        </w:rPr>
        <w:t>（二）2022年收支预算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2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一般公共预算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60" w:lineRule="exact"/>
        <w:ind w:firstLine="642" w:firstLineChars="200"/>
        <w:jc w:val="both"/>
        <w:textAlignment w:val="baseline"/>
        <w:rPr>
          <w:rFonts w:ascii="仿宋_GB2312" w:hAnsi="仿宋" w:eastAsia="仿宋_GB2312" w:cs="Calibri"/>
          <w:b/>
          <w:bCs/>
          <w:i w:val="0"/>
          <w:caps w:val="0"/>
          <w:color w:val="auto"/>
          <w:spacing w:val="0"/>
          <w:w w:val="100"/>
          <w:sz w:val="32"/>
          <w:szCs w:val="32"/>
          <w:highlight w:val="none"/>
        </w:rPr>
      </w:pPr>
      <w:r>
        <w:rPr>
          <w:rFonts w:hint="eastAsia" w:ascii="仿宋_GB2312" w:hAnsi="仿宋" w:eastAsia="仿宋_GB2312" w:cs="Calibri"/>
          <w:b/>
          <w:bCs/>
          <w:i w:val="0"/>
          <w:caps w:val="0"/>
          <w:color w:val="auto"/>
          <w:spacing w:val="0"/>
          <w:w w:val="100"/>
          <w:sz w:val="32"/>
          <w:szCs w:val="32"/>
          <w:highlight w:val="none"/>
          <w:lang w:eastAsia="zh-CN"/>
        </w:rPr>
        <w:t>（</w:t>
      </w:r>
      <w:r>
        <w:rPr>
          <w:rFonts w:hint="eastAsia" w:ascii="仿宋_GB2312" w:hAnsi="仿宋" w:eastAsia="仿宋_GB2312" w:cs="Calibri"/>
          <w:b/>
          <w:bCs/>
          <w:i w:val="0"/>
          <w:caps w:val="0"/>
          <w:color w:val="auto"/>
          <w:spacing w:val="0"/>
          <w:w w:val="100"/>
          <w:sz w:val="32"/>
          <w:szCs w:val="32"/>
          <w:highlight w:val="none"/>
          <w:lang w:val="en-US" w:eastAsia="zh-CN"/>
        </w:rPr>
        <w:t>1</w:t>
      </w:r>
      <w:r>
        <w:rPr>
          <w:rFonts w:hint="eastAsia" w:ascii="仿宋_GB2312" w:hAnsi="仿宋" w:eastAsia="仿宋_GB2312" w:cs="Calibri"/>
          <w:b/>
          <w:bCs/>
          <w:i w:val="0"/>
          <w:caps w:val="0"/>
          <w:color w:val="auto"/>
          <w:spacing w:val="0"/>
          <w:w w:val="100"/>
          <w:sz w:val="32"/>
          <w:szCs w:val="32"/>
          <w:highlight w:val="none"/>
          <w:lang w:eastAsia="zh-CN"/>
        </w:rPr>
        <w:t>）</w:t>
      </w:r>
      <w:r>
        <w:rPr>
          <w:rFonts w:hint="eastAsia" w:ascii="仿宋_GB2312" w:hAnsi="仿宋" w:eastAsia="仿宋_GB2312" w:cs="Calibri"/>
          <w:b/>
          <w:bCs/>
          <w:i w:val="0"/>
          <w:caps w:val="0"/>
          <w:color w:val="auto"/>
          <w:spacing w:val="0"/>
          <w:w w:val="100"/>
          <w:sz w:val="32"/>
          <w:szCs w:val="32"/>
          <w:highlight w:val="none"/>
        </w:rPr>
        <w:t>一般公共预算收入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60" w:lineRule="exact"/>
        <w:ind w:firstLine="640" w:firstLineChars="200"/>
        <w:jc w:val="both"/>
        <w:textAlignment w:val="baseline"/>
        <w:rPr>
          <w:rFonts w:hint="eastAsia" w:ascii="仿宋_GB2312" w:hAnsi="仿宋" w:eastAsia="仿宋_GB2312" w:cs="Calibri"/>
          <w:b w:val="0"/>
          <w:i w:val="0"/>
          <w:caps w:val="0"/>
          <w:color w:val="auto"/>
          <w:spacing w:val="0"/>
          <w:w w:val="100"/>
          <w:sz w:val="32"/>
          <w:szCs w:val="32"/>
          <w:highlight w:val="none"/>
          <w:lang w:eastAsia="zh-CN"/>
        </w:rPr>
      </w:pPr>
      <w:r>
        <w:rPr>
          <w:rFonts w:hint="eastAsia" w:ascii="仿宋_GB2312" w:hAnsi="仿宋" w:eastAsia="仿宋_GB2312" w:cs="Calibri"/>
          <w:b w:val="0"/>
          <w:i w:val="0"/>
          <w:caps w:val="0"/>
          <w:color w:val="auto"/>
          <w:spacing w:val="0"/>
          <w:w w:val="100"/>
          <w:sz w:val="32"/>
          <w:szCs w:val="32"/>
          <w:highlight w:val="none"/>
          <w:lang w:eastAsia="zh-CN"/>
        </w:rPr>
        <w:t>①</w:t>
      </w:r>
      <w:r>
        <w:rPr>
          <w:rFonts w:hint="eastAsia" w:ascii="仿宋_GB2312" w:hAnsi="仿宋" w:eastAsia="仿宋_GB2312" w:cs="Calibri"/>
          <w:b w:val="0"/>
          <w:i w:val="0"/>
          <w:caps w:val="0"/>
          <w:color w:val="auto"/>
          <w:spacing w:val="0"/>
          <w:w w:val="100"/>
          <w:sz w:val="32"/>
          <w:szCs w:val="32"/>
          <w:highlight w:val="none"/>
        </w:rPr>
        <w:t>202</w:t>
      </w:r>
      <w:r>
        <w:rPr>
          <w:rFonts w:hint="eastAsia" w:ascii="仿宋_GB2312" w:hAnsi="仿宋" w:eastAsia="仿宋_GB2312" w:cs="Calibri"/>
          <w:b w:val="0"/>
          <w:i w:val="0"/>
          <w:caps w:val="0"/>
          <w:color w:val="auto"/>
          <w:spacing w:val="0"/>
          <w:w w:val="100"/>
          <w:sz w:val="32"/>
          <w:szCs w:val="32"/>
          <w:highlight w:val="none"/>
          <w:lang w:val="en-US" w:eastAsia="zh-CN"/>
        </w:rPr>
        <w:t>2</w:t>
      </w:r>
      <w:r>
        <w:rPr>
          <w:rFonts w:hint="eastAsia" w:ascii="仿宋_GB2312" w:hAnsi="仿宋" w:eastAsia="仿宋_GB2312" w:cs="Calibri"/>
          <w:b w:val="0"/>
          <w:i w:val="0"/>
          <w:caps w:val="0"/>
          <w:color w:val="auto"/>
          <w:spacing w:val="0"/>
          <w:w w:val="100"/>
          <w:sz w:val="32"/>
          <w:szCs w:val="32"/>
          <w:highlight w:val="none"/>
        </w:rPr>
        <w:t>年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一般公共预算收入100900万元，比2021年完成数增长8%。其中：税收收入72884万元，增长5.81%；非税收入28016万元，增长14.15%。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60" w:lineRule="exact"/>
        <w:ind w:firstLine="640" w:firstLineChars="200"/>
        <w:jc w:val="both"/>
        <w:textAlignment w:val="baseline"/>
        <w:rPr>
          <w:b w:val="0"/>
          <w:i w:val="0"/>
          <w:caps w:val="0"/>
          <w:color w:val="auto"/>
          <w:spacing w:val="0"/>
          <w:w w:val="100"/>
          <w:sz w:val="32"/>
          <w:szCs w:val="32"/>
          <w:highlight w:val="none"/>
        </w:rPr>
      </w:pPr>
      <w:r>
        <w:rPr>
          <w:rFonts w:hint="eastAsia" w:ascii="仿宋_GB2312" w:hAnsi="仿宋" w:eastAsia="仿宋_GB2312" w:cs="Calibri"/>
          <w:b w:val="0"/>
          <w:i w:val="0"/>
          <w:caps w:val="0"/>
          <w:color w:val="auto"/>
          <w:spacing w:val="0"/>
          <w:w w:val="100"/>
          <w:sz w:val="32"/>
          <w:szCs w:val="32"/>
          <w:highlight w:val="none"/>
          <w:lang w:eastAsia="zh-CN"/>
        </w:rPr>
        <w:t>②</w:t>
      </w:r>
      <w:r>
        <w:rPr>
          <w:rFonts w:hint="eastAsia" w:ascii="仿宋_GB2312" w:hAnsi="仿宋" w:eastAsia="仿宋_GB2312" w:cs="Calibri"/>
          <w:b w:val="0"/>
          <w:i w:val="0"/>
          <w:caps w:val="0"/>
          <w:color w:val="auto"/>
          <w:spacing w:val="0"/>
          <w:w w:val="100"/>
          <w:sz w:val="32"/>
          <w:szCs w:val="32"/>
          <w:highlight w:val="none"/>
        </w:rPr>
        <w:t>上级转移</w:t>
      </w:r>
      <w:r>
        <w:rPr>
          <w:rFonts w:hint="eastAsia" w:ascii="仿宋_GB2312" w:hAnsi="仿宋" w:eastAsia="仿宋_GB2312" w:cs="Calibri"/>
          <w:b w:val="0"/>
          <w:i w:val="0"/>
          <w:caps w:val="0"/>
          <w:color w:val="auto"/>
          <w:spacing w:val="0"/>
          <w:w w:val="100"/>
          <w:sz w:val="32"/>
          <w:szCs w:val="32"/>
          <w:highlight w:val="none"/>
          <w:lang w:val="en-US" w:eastAsia="zh-CN"/>
        </w:rPr>
        <w:t>性</w:t>
      </w:r>
      <w:r>
        <w:rPr>
          <w:rFonts w:hint="eastAsia" w:ascii="仿宋_GB2312" w:hAnsi="仿宋" w:eastAsia="仿宋_GB2312" w:cs="Calibri"/>
          <w:b w:val="0"/>
          <w:i w:val="0"/>
          <w:caps w:val="0"/>
          <w:color w:val="auto"/>
          <w:spacing w:val="0"/>
          <w:w w:val="100"/>
          <w:sz w:val="32"/>
          <w:szCs w:val="32"/>
          <w:highlight w:val="none"/>
        </w:rPr>
        <w:t>支付收</w:t>
      </w:r>
      <w:r>
        <w:rPr>
          <w:rFonts w:hint="eastAsia" w:ascii="仿宋_GB2312" w:hAnsi="仿宋" w:eastAsia="仿宋_GB2312" w:cs="Calibri"/>
          <w:b w:val="0"/>
          <w:i w:val="0"/>
          <w:caps w:val="0"/>
          <w:color w:val="auto"/>
          <w:spacing w:val="0"/>
          <w:w w:val="100"/>
          <w:sz w:val="32"/>
          <w:szCs w:val="32"/>
          <w:highlight w:val="none"/>
          <w:lang w:val="en-US" w:eastAsia="zh-CN"/>
        </w:rPr>
        <w:t>入156386万元</w:t>
      </w:r>
      <w:r>
        <w:rPr>
          <w:rFonts w:hint="eastAsia" w:ascii="仿宋_GB2312" w:hAnsi="仿宋" w:eastAsia="仿宋_GB2312" w:cs="Calibri"/>
          <w:b w:val="0"/>
          <w:i w:val="0"/>
          <w:caps w:val="0"/>
          <w:color w:val="auto"/>
          <w:spacing w:val="0"/>
          <w:w w:val="100"/>
          <w:sz w:val="32"/>
          <w:szCs w:val="32"/>
          <w:highlight w:val="none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60" w:lineRule="exact"/>
        <w:ind w:firstLine="640" w:firstLineChars="200"/>
        <w:jc w:val="both"/>
        <w:textAlignment w:val="baseline"/>
        <w:rPr>
          <w:rFonts w:hint="default" w:ascii="仿宋_GB2312" w:hAnsi="仿宋" w:eastAsia="仿宋_GB2312" w:cs="Calibri"/>
          <w:b w:val="0"/>
          <w:i w:val="0"/>
          <w:caps w:val="0"/>
          <w:color w:val="auto"/>
          <w:spacing w:val="0"/>
          <w:w w:val="10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" w:eastAsia="仿宋_GB2312" w:cs="Calibri"/>
          <w:b w:val="0"/>
          <w:i w:val="0"/>
          <w:caps w:val="0"/>
          <w:color w:val="auto"/>
          <w:spacing w:val="0"/>
          <w:w w:val="100"/>
          <w:sz w:val="32"/>
          <w:szCs w:val="32"/>
          <w:highlight w:val="none"/>
          <w:lang w:val="en-US" w:eastAsia="zh-CN"/>
        </w:rPr>
        <w:t>③一般债券收入6000万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60" w:lineRule="exact"/>
        <w:ind w:firstLine="640" w:firstLineChars="200"/>
        <w:jc w:val="both"/>
        <w:textAlignment w:val="baseline"/>
        <w:rPr>
          <w:rFonts w:hint="eastAsia" w:ascii="仿宋_GB2312" w:hAnsi="仿宋" w:eastAsia="仿宋_GB2312" w:cs="Calibri"/>
          <w:b w:val="0"/>
          <w:i w:val="0"/>
          <w:caps w:val="0"/>
          <w:color w:val="auto"/>
          <w:spacing w:val="0"/>
          <w:w w:val="100"/>
          <w:sz w:val="32"/>
          <w:szCs w:val="32"/>
          <w:highlight w:val="none"/>
          <w:lang w:eastAsia="zh-CN"/>
        </w:rPr>
      </w:pPr>
      <w:r>
        <w:rPr>
          <w:rFonts w:hint="eastAsia" w:ascii="仿宋_GB2312" w:hAnsi="仿宋" w:eastAsia="仿宋_GB2312" w:cs="Calibri"/>
          <w:b w:val="0"/>
          <w:i w:val="0"/>
          <w:caps w:val="0"/>
          <w:color w:val="auto"/>
          <w:spacing w:val="0"/>
          <w:w w:val="100"/>
          <w:sz w:val="32"/>
          <w:szCs w:val="32"/>
          <w:highlight w:val="none"/>
          <w:lang w:val="en-US" w:eastAsia="zh-CN"/>
        </w:rPr>
        <w:t>④上年结余39356万元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60" w:lineRule="exact"/>
        <w:ind w:firstLine="640" w:firstLineChars="200"/>
        <w:jc w:val="both"/>
        <w:textAlignment w:val="baseline"/>
        <w:rPr>
          <w:rFonts w:hint="eastAsia" w:ascii="仿宋_GB2312" w:hAnsi="仿宋" w:eastAsia="仿宋_GB2312" w:cs="Calibri"/>
          <w:b w:val="0"/>
          <w:i w:val="0"/>
          <w:caps w:val="0"/>
          <w:color w:val="auto"/>
          <w:spacing w:val="0"/>
          <w:w w:val="10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" w:eastAsia="仿宋_GB2312" w:cs="Calibri"/>
          <w:b w:val="0"/>
          <w:i w:val="0"/>
          <w:caps w:val="0"/>
          <w:color w:val="auto"/>
          <w:spacing w:val="0"/>
          <w:w w:val="100"/>
          <w:sz w:val="32"/>
          <w:szCs w:val="32"/>
          <w:highlight w:val="none"/>
          <w:lang w:val="en-US" w:eastAsia="zh-CN"/>
        </w:rPr>
        <w:t>收入总计302462万元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60" w:lineRule="exact"/>
        <w:ind w:firstLine="642" w:firstLineChars="200"/>
        <w:jc w:val="both"/>
        <w:textAlignment w:val="baseline"/>
        <w:rPr>
          <w:rFonts w:hint="eastAsia" w:ascii="仿宋_GB2312" w:hAnsi="仿宋" w:eastAsia="仿宋_GB2312" w:cs="Calibri"/>
          <w:b/>
          <w:bCs/>
          <w:i w:val="0"/>
          <w:caps w:val="0"/>
          <w:color w:val="auto"/>
          <w:spacing w:val="0"/>
          <w:w w:val="100"/>
          <w:sz w:val="32"/>
          <w:szCs w:val="32"/>
          <w:highlight w:val="none"/>
        </w:rPr>
      </w:pPr>
      <w:r>
        <w:rPr>
          <w:rFonts w:hint="eastAsia" w:ascii="仿宋_GB2312" w:hAnsi="仿宋" w:eastAsia="仿宋_GB2312" w:cs="Calibri"/>
          <w:b/>
          <w:bCs/>
          <w:i w:val="0"/>
          <w:caps w:val="0"/>
          <w:color w:val="auto"/>
          <w:spacing w:val="0"/>
          <w:w w:val="100"/>
          <w:sz w:val="32"/>
          <w:szCs w:val="32"/>
          <w:highlight w:val="none"/>
          <w:lang w:eastAsia="zh-CN"/>
        </w:rPr>
        <w:t>（</w:t>
      </w:r>
      <w:r>
        <w:rPr>
          <w:rFonts w:hint="eastAsia" w:ascii="仿宋_GB2312" w:hAnsi="仿宋" w:eastAsia="仿宋_GB2312" w:cs="Calibri"/>
          <w:b/>
          <w:bCs/>
          <w:i w:val="0"/>
          <w:caps w:val="0"/>
          <w:color w:val="auto"/>
          <w:spacing w:val="0"/>
          <w:w w:val="100"/>
          <w:sz w:val="32"/>
          <w:szCs w:val="32"/>
          <w:highlight w:val="none"/>
          <w:lang w:val="en-US" w:eastAsia="zh-CN"/>
        </w:rPr>
        <w:t>2</w:t>
      </w:r>
      <w:r>
        <w:rPr>
          <w:rFonts w:hint="eastAsia" w:ascii="仿宋_GB2312" w:hAnsi="仿宋" w:eastAsia="仿宋_GB2312" w:cs="Calibri"/>
          <w:b/>
          <w:bCs/>
          <w:i w:val="0"/>
          <w:caps w:val="0"/>
          <w:color w:val="auto"/>
          <w:spacing w:val="0"/>
          <w:w w:val="100"/>
          <w:sz w:val="32"/>
          <w:szCs w:val="32"/>
          <w:highlight w:val="none"/>
          <w:lang w:eastAsia="zh-CN"/>
        </w:rPr>
        <w:t>）</w:t>
      </w:r>
      <w:r>
        <w:rPr>
          <w:rFonts w:hint="eastAsia" w:ascii="仿宋_GB2312" w:hAnsi="仿宋" w:eastAsia="仿宋_GB2312" w:cs="Calibri"/>
          <w:b/>
          <w:bCs/>
          <w:i w:val="0"/>
          <w:caps w:val="0"/>
          <w:color w:val="auto"/>
          <w:spacing w:val="0"/>
          <w:w w:val="100"/>
          <w:sz w:val="32"/>
          <w:szCs w:val="32"/>
          <w:highlight w:val="none"/>
        </w:rPr>
        <w:t>一般公共预算支出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60" w:lineRule="exact"/>
        <w:ind w:firstLine="640" w:firstLineChars="200"/>
        <w:jc w:val="both"/>
        <w:textAlignment w:val="baseline"/>
        <w:rPr>
          <w:rFonts w:hint="eastAsia" w:ascii="仿宋_GB2312" w:hAnsi="仿宋" w:eastAsia="仿宋_GB2312" w:cs="Calibri"/>
          <w:b w:val="0"/>
          <w:i w:val="0"/>
          <w:caps w:val="0"/>
          <w:color w:val="auto"/>
          <w:spacing w:val="0"/>
          <w:w w:val="10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" w:eastAsia="仿宋_GB2312" w:cs="Calibri"/>
          <w:b w:val="0"/>
          <w:i w:val="0"/>
          <w:caps w:val="0"/>
          <w:color w:val="auto"/>
          <w:spacing w:val="0"/>
          <w:w w:val="100"/>
          <w:sz w:val="32"/>
          <w:szCs w:val="32"/>
          <w:highlight w:val="none"/>
          <w:lang w:val="en-US" w:eastAsia="zh-CN"/>
        </w:rPr>
        <w:t>①上解支出8870万元。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60" w:lineRule="exact"/>
        <w:ind w:firstLine="640" w:firstLineChars="200"/>
        <w:jc w:val="both"/>
        <w:textAlignment w:val="baseline"/>
        <w:rPr>
          <w:rFonts w:hint="eastAsia" w:ascii="仿宋_GB2312" w:hAnsi="仿宋" w:eastAsia="仿宋_GB2312" w:cs="Calibri"/>
          <w:b w:val="0"/>
          <w:i w:val="0"/>
          <w:caps w:val="0"/>
          <w:color w:val="auto"/>
          <w:spacing w:val="0"/>
          <w:w w:val="100"/>
          <w:sz w:val="32"/>
          <w:szCs w:val="32"/>
          <w:highlight w:val="none"/>
          <w:lang w:eastAsia="zh-CN"/>
        </w:rPr>
      </w:pPr>
      <w:r>
        <w:rPr>
          <w:rFonts w:hint="eastAsia" w:ascii="仿宋_GB2312" w:hAnsi="仿宋" w:eastAsia="仿宋_GB2312" w:cs="Calibri"/>
          <w:b w:val="0"/>
          <w:i w:val="0"/>
          <w:caps w:val="0"/>
          <w:color w:val="auto"/>
          <w:spacing w:val="0"/>
          <w:w w:val="100"/>
          <w:sz w:val="32"/>
          <w:szCs w:val="32"/>
          <w:highlight w:val="none"/>
          <w:lang w:val="en-US" w:eastAsia="zh-CN"/>
        </w:rPr>
        <w:t>②有明确用途的转移性支付资金74241万元。分别是：上年结转专项转移支付39356万元，当年一般性转移支付33035万元，专项转移支付1850万元</w:t>
      </w:r>
      <w:r>
        <w:rPr>
          <w:rFonts w:hint="eastAsia" w:ascii="仿宋_GB2312" w:hAnsi="仿宋" w:eastAsia="仿宋_GB2312" w:cs="Calibri"/>
          <w:b w:val="0"/>
          <w:i w:val="0"/>
          <w:caps w:val="0"/>
          <w:color w:val="auto"/>
          <w:spacing w:val="0"/>
          <w:w w:val="100"/>
          <w:sz w:val="32"/>
          <w:szCs w:val="32"/>
          <w:highlight w:val="none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60" w:lineRule="exact"/>
        <w:ind w:firstLine="640" w:firstLineChars="200"/>
        <w:jc w:val="both"/>
        <w:textAlignment w:val="baseline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</w:pPr>
      <w:r>
        <w:rPr>
          <w:rFonts w:hint="eastAsia" w:ascii="仿宋_GB2312" w:hAnsi="仿宋" w:eastAsia="仿宋_GB2312" w:cs="Calibri"/>
          <w:b w:val="0"/>
          <w:i w:val="0"/>
          <w:caps w:val="0"/>
          <w:color w:val="auto"/>
          <w:spacing w:val="0"/>
          <w:w w:val="100"/>
          <w:sz w:val="32"/>
          <w:szCs w:val="32"/>
          <w:highlight w:val="none"/>
          <w:lang w:eastAsia="zh-CN"/>
        </w:rPr>
        <w:t>③</w:t>
      </w:r>
      <w:r>
        <w:rPr>
          <w:rFonts w:hint="eastAsia" w:ascii="仿宋_GB2312" w:hAnsi="仿宋" w:eastAsia="仿宋_GB2312" w:cs="Calibri"/>
          <w:b w:val="0"/>
          <w:i w:val="0"/>
          <w:caps w:val="0"/>
          <w:color w:val="auto"/>
          <w:spacing w:val="0"/>
          <w:w w:val="100"/>
          <w:sz w:val="32"/>
          <w:szCs w:val="32"/>
          <w:highlight w:val="none"/>
          <w:lang w:val="en-US" w:eastAsia="zh-CN"/>
        </w:rPr>
        <w:t>2022年</w:t>
      </w:r>
      <w:r>
        <w:rPr>
          <w:rFonts w:hint="eastAsia" w:ascii="仿宋_GB2312" w:hAnsi="仿宋" w:eastAsia="仿宋_GB2312" w:cs="Calibri"/>
          <w:b w:val="0"/>
          <w:i w:val="0"/>
          <w:caps w:val="0"/>
          <w:color w:val="auto"/>
          <w:spacing w:val="0"/>
          <w:w w:val="100"/>
          <w:sz w:val="32"/>
          <w:szCs w:val="32"/>
          <w:highlight w:val="none"/>
          <w:lang w:eastAsia="zh-CN"/>
        </w:rPr>
        <w:t>区本级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一般公共预算支出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219531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万元，增长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29.95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%。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60" w:lineRule="exact"/>
        <w:ind w:firstLine="640" w:firstLineChars="200"/>
        <w:jc w:val="both"/>
        <w:textAlignment w:val="baseline"/>
        <w:rPr>
          <w:rFonts w:hint="eastAsia" w:ascii="仿宋_GB2312" w:hAnsi="仿宋" w:eastAsia="仿宋_GB2312" w:cs="Calibri"/>
          <w:b w:val="0"/>
          <w:i w:val="0"/>
          <w:caps w:val="0"/>
          <w:color w:val="auto"/>
          <w:spacing w:val="0"/>
          <w:w w:val="100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主要项目安排情况：教育支出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46130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万元，下降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2.26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%；科学技术支出1085万元；社会保障和就业支出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24838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万元；增长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27.88%；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卫生健康支出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16700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万元，增长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5.20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%；节能环保支出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3580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万元，增长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69.99%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；城乡社区支出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21242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万元，增长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71.18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%；农林水支出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19285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万元；交通运输支出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6799万元，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增长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148.14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%；粮油物资储备支出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2304万元；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住房保障支出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1200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60" w:lineRule="exact"/>
        <w:ind w:firstLine="640" w:firstLineChars="200"/>
        <w:jc w:val="both"/>
        <w:textAlignment w:val="baseline"/>
        <w:rPr>
          <w:rFonts w:hint="eastAsia" w:ascii="仿宋_GB2312" w:hAnsi="仿宋" w:eastAsia="仿宋_GB2312" w:cs="Calibri"/>
          <w:b w:val="0"/>
          <w:i w:val="0"/>
          <w:caps w:val="0"/>
          <w:color w:val="auto"/>
          <w:spacing w:val="0"/>
          <w:w w:val="10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" w:eastAsia="仿宋_GB2312" w:cs="Calibri"/>
          <w:b w:val="0"/>
          <w:i w:val="0"/>
          <w:caps w:val="0"/>
          <w:color w:val="auto"/>
          <w:spacing w:val="0"/>
          <w:w w:val="100"/>
          <w:sz w:val="32"/>
          <w:szCs w:val="32"/>
          <w:highlight w:val="none"/>
          <w:lang w:val="en-US" w:eastAsia="zh-CN"/>
        </w:rPr>
        <w:t>支出总计302462万元</w:t>
      </w:r>
    </w:p>
    <w:p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60" w:lineRule="exact"/>
        <w:ind w:firstLine="642" w:firstLineChars="200"/>
        <w:jc w:val="both"/>
        <w:textAlignment w:val="baseline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</w:pPr>
      <w:r>
        <w:rPr>
          <w:rFonts w:hint="eastAsia" w:ascii="仿宋_GB2312" w:hAnsi="仿宋" w:eastAsia="仿宋_GB2312" w:cs="Calibri"/>
          <w:b/>
          <w:bCs/>
          <w:i w:val="0"/>
          <w:caps w:val="0"/>
          <w:color w:val="auto"/>
          <w:spacing w:val="0"/>
          <w:w w:val="100"/>
          <w:sz w:val="32"/>
          <w:szCs w:val="32"/>
          <w:highlight w:val="none"/>
          <w:lang w:eastAsia="zh-CN"/>
        </w:rPr>
        <w:t>三公经费预算情况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60" w:lineRule="exact"/>
        <w:ind w:firstLine="640" w:firstLineChars="200"/>
        <w:jc w:val="both"/>
        <w:textAlignment w:val="baseline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2022年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区级公共预算安排“三公”经费预算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700.88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万元，较2021年预算减少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8.09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万元，下降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1.14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%。其中公务接待费387.22万元、因公出国(境)费用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9万元、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公务用车购置费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41.76万元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  <w:lang w:eastAsia="zh-CN"/>
        </w:rPr>
        <w:t>及公务用车运行维护费262.9万元。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2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  <w:lang w:val="en-US" w:eastAsia="zh-CN"/>
        </w:rPr>
        <w:t>2、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  <w:lang w:eastAsia="zh-CN"/>
        </w:rPr>
        <w:t>政府性基金预算</w:t>
      </w:r>
    </w:p>
    <w:p>
      <w:pPr>
        <w:keepNext w:val="0"/>
        <w:keepLines w:val="0"/>
        <w:pageBreakBefore w:val="0"/>
        <w:widowControl w:val="0"/>
        <w:numPr>
          <w:ilvl w:val="0"/>
          <w:numId w:val="4"/>
        </w:numPr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2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  <w:lang w:eastAsia="zh-CN"/>
        </w:rPr>
        <w:t>收入情况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2022年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政府性基金预算收入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39814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万元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(国有土地使用权出让收入35814万元、城市基础设施配套费收入4000万元)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，转移支付收入127万元，上年结余收入4433万元，专项债券转贷收入10000万元，收入总计为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54374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万元。</w:t>
      </w:r>
    </w:p>
    <w:p>
      <w:pPr>
        <w:keepNext w:val="0"/>
        <w:keepLines w:val="0"/>
        <w:pageBreakBefore w:val="0"/>
        <w:widowControl w:val="0"/>
        <w:numPr>
          <w:ilvl w:val="0"/>
          <w:numId w:val="4"/>
        </w:numPr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leftChars="0" w:firstLine="642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  <w:lang w:eastAsia="zh-CN"/>
        </w:rPr>
        <w:t>支出情况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2022年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政府性基金预算支出总计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54374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万元（文化旅游体育与传媒支出16万元、社会保障和就业支出275万元、城乡社区支出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38967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万元、农林水支出11万元、其他支出13190万元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,债务付息支出1915万元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）。</w:t>
      </w:r>
    </w:p>
    <w:p>
      <w:pPr>
        <w:keepNext w:val="0"/>
        <w:keepLines w:val="0"/>
        <w:pageBreakBefore w:val="0"/>
        <w:widowControl w:val="0"/>
        <w:numPr>
          <w:ilvl w:val="0"/>
          <w:numId w:val="5"/>
        </w:numPr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2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社会保险基金预算</w:t>
      </w:r>
    </w:p>
    <w:p>
      <w:pPr>
        <w:pStyle w:val="8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20" w:afterAutospacing="0" w:line="240" w:lineRule="auto"/>
        <w:ind w:firstLine="642" w:firstLineChars="200"/>
        <w:jc w:val="both"/>
        <w:textAlignment w:val="baseline"/>
        <w:rPr>
          <w:rFonts w:hint="eastAsia" w:ascii="仿宋_GB2312" w:hAnsi="仿宋" w:eastAsia="仿宋_GB2312" w:cs="Calibri"/>
          <w:b/>
          <w:bCs/>
          <w:i w:val="0"/>
          <w:caps w:val="0"/>
          <w:color w:val="000000"/>
          <w:spacing w:val="0"/>
          <w:w w:val="100"/>
          <w:sz w:val="32"/>
          <w:szCs w:val="32"/>
        </w:rPr>
      </w:pPr>
      <w:r>
        <w:rPr>
          <w:rFonts w:hint="eastAsia" w:ascii="仿宋_GB2312" w:hAnsi="仿宋" w:eastAsia="仿宋_GB2312" w:cs="Calibri"/>
          <w:b/>
          <w:bCs/>
          <w:i w:val="0"/>
          <w:caps w:val="0"/>
          <w:color w:val="000000"/>
          <w:spacing w:val="0"/>
          <w:w w:val="100"/>
          <w:sz w:val="32"/>
          <w:szCs w:val="32"/>
          <w:lang w:eastAsia="zh-CN"/>
        </w:rPr>
        <w:t>（</w:t>
      </w:r>
      <w:r>
        <w:rPr>
          <w:rFonts w:hint="eastAsia" w:ascii="仿宋_GB2312" w:hAnsi="仿宋" w:eastAsia="仿宋_GB2312" w:cs="Calibri"/>
          <w:b/>
          <w:bCs/>
          <w:i w:val="0"/>
          <w:caps w:val="0"/>
          <w:color w:val="000000"/>
          <w:spacing w:val="0"/>
          <w:w w:val="100"/>
          <w:sz w:val="32"/>
          <w:szCs w:val="32"/>
          <w:lang w:val="en-US" w:eastAsia="zh-CN"/>
        </w:rPr>
        <w:t>1</w:t>
      </w:r>
      <w:r>
        <w:rPr>
          <w:rFonts w:hint="eastAsia" w:ascii="仿宋_GB2312" w:hAnsi="仿宋" w:eastAsia="仿宋_GB2312" w:cs="Calibri"/>
          <w:b/>
          <w:bCs/>
          <w:i w:val="0"/>
          <w:caps w:val="0"/>
          <w:color w:val="000000"/>
          <w:spacing w:val="0"/>
          <w:w w:val="100"/>
          <w:sz w:val="32"/>
          <w:szCs w:val="32"/>
          <w:lang w:eastAsia="zh-CN"/>
        </w:rPr>
        <w:t>）</w:t>
      </w:r>
      <w:r>
        <w:rPr>
          <w:rFonts w:hint="eastAsia" w:ascii="仿宋_GB2312" w:hAnsi="仿宋" w:eastAsia="仿宋_GB2312" w:cs="Calibri"/>
          <w:b/>
          <w:bCs/>
          <w:i w:val="0"/>
          <w:caps w:val="0"/>
          <w:color w:val="000000"/>
          <w:spacing w:val="0"/>
          <w:w w:val="100"/>
          <w:sz w:val="32"/>
          <w:szCs w:val="32"/>
        </w:rPr>
        <w:t>收入情况</w:t>
      </w:r>
    </w:p>
    <w:p>
      <w:pPr>
        <w:pStyle w:val="8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20" w:afterAutospacing="0" w:line="240" w:lineRule="auto"/>
        <w:ind w:firstLine="640" w:firstLineChars="200"/>
        <w:jc w:val="both"/>
        <w:textAlignment w:val="baseline"/>
        <w:rPr>
          <w:rFonts w:ascii="仿宋_GB2312" w:hAnsi="仿宋" w:eastAsia="仿宋_GB2312" w:cs="Calibri"/>
          <w:b w:val="0"/>
          <w:bCs w:val="0"/>
          <w:i w:val="0"/>
          <w:caps w:val="0"/>
          <w:color w:val="000000"/>
          <w:spacing w:val="0"/>
          <w:w w:val="100"/>
          <w:sz w:val="32"/>
          <w:szCs w:val="32"/>
        </w:rPr>
      </w:pPr>
      <w:r>
        <w:rPr>
          <w:rFonts w:hint="eastAsia" w:ascii="仿宋_GB2312" w:hAnsi="仿宋" w:eastAsia="仿宋_GB2312" w:cs="Calibri"/>
          <w:b w:val="0"/>
          <w:bCs w:val="0"/>
          <w:i w:val="0"/>
          <w:caps w:val="0"/>
          <w:color w:val="000000"/>
          <w:spacing w:val="0"/>
          <w:w w:val="100"/>
          <w:sz w:val="32"/>
          <w:szCs w:val="32"/>
          <w:lang w:eastAsia="zh-CN"/>
        </w:rPr>
        <w:t>①</w:t>
      </w:r>
      <w:r>
        <w:rPr>
          <w:rFonts w:hint="eastAsia" w:ascii="仿宋_GB2312" w:hAnsi="仿宋" w:eastAsia="仿宋_GB2312" w:cs="Calibri"/>
          <w:b w:val="0"/>
          <w:bCs w:val="0"/>
          <w:i w:val="0"/>
          <w:caps w:val="0"/>
          <w:color w:val="000000"/>
          <w:spacing w:val="0"/>
          <w:w w:val="100"/>
          <w:sz w:val="32"/>
          <w:szCs w:val="32"/>
        </w:rPr>
        <w:t>上年结余</w:t>
      </w:r>
      <w:r>
        <w:rPr>
          <w:rFonts w:hint="eastAsia" w:ascii="仿宋_GB2312" w:hAnsi="仿宋" w:eastAsia="仿宋_GB2312" w:cs="Calibri"/>
          <w:b w:val="0"/>
          <w:bCs w:val="0"/>
          <w:i w:val="0"/>
          <w:caps w:val="0"/>
          <w:color w:val="000000"/>
          <w:spacing w:val="0"/>
          <w:w w:val="100"/>
          <w:sz w:val="32"/>
          <w:szCs w:val="32"/>
          <w:lang w:val="en-US" w:eastAsia="zh-CN"/>
        </w:rPr>
        <w:t>35007</w:t>
      </w:r>
      <w:r>
        <w:rPr>
          <w:rFonts w:hint="eastAsia" w:ascii="仿宋_GB2312" w:hAnsi="仿宋" w:eastAsia="仿宋_GB2312" w:cs="Calibri"/>
          <w:b w:val="0"/>
          <w:bCs w:val="0"/>
          <w:i w:val="0"/>
          <w:caps w:val="0"/>
          <w:color w:val="000000"/>
          <w:spacing w:val="0"/>
          <w:w w:val="100"/>
          <w:sz w:val="32"/>
          <w:szCs w:val="32"/>
        </w:rPr>
        <w:t>万元。分别是：城乡居民基本养老保险</w:t>
      </w:r>
      <w:r>
        <w:rPr>
          <w:rFonts w:hint="eastAsia" w:ascii="仿宋_GB2312" w:hAnsi="仿宋" w:eastAsia="仿宋_GB2312" w:cs="Calibri"/>
          <w:b w:val="0"/>
          <w:bCs w:val="0"/>
          <w:i w:val="0"/>
          <w:caps w:val="0"/>
          <w:color w:val="000000"/>
          <w:spacing w:val="0"/>
          <w:w w:val="100"/>
          <w:sz w:val="32"/>
          <w:szCs w:val="32"/>
          <w:lang w:val="en-US" w:eastAsia="zh-CN"/>
        </w:rPr>
        <w:t>33346</w:t>
      </w:r>
      <w:r>
        <w:rPr>
          <w:rFonts w:hint="eastAsia" w:ascii="仿宋_GB2312" w:hAnsi="仿宋" w:eastAsia="仿宋_GB2312" w:cs="Calibri"/>
          <w:b w:val="0"/>
          <w:bCs w:val="0"/>
          <w:i w:val="0"/>
          <w:caps w:val="0"/>
          <w:color w:val="000000"/>
          <w:spacing w:val="0"/>
          <w:w w:val="100"/>
          <w:sz w:val="32"/>
          <w:szCs w:val="32"/>
        </w:rPr>
        <w:t>万元、机关事业单位基本养老保险</w:t>
      </w:r>
      <w:r>
        <w:rPr>
          <w:rFonts w:hint="eastAsia" w:ascii="仿宋_GB2312" w:hAnsi="仿宋" w:eastAsia="仿宋_GB2312" w:cs="Calibri"/>
          <w:b w:val="0"/>
          <w:bCs w:val="0"/>
          <w:i w:val="0"/>
          <w:caps w:val="0"/>
          <w:color w:val="000000"/>
          <w:spacing w:val="0"/>
          <w:w w:val="100"/>
          <w:sz w:val="32"/>
          <w:szCs w:val="32"/>
          <w:lang w:val="en-US" w:eastAsia="zh-CN"/>
        </w:rPr>
        <w:t>1661</w:t>
      </w:r>
      <w:r>
        <w:rPr>
          <w:rFonts w:hint="eastAsia" w:ascii="仿宋_GB2312" w:hAnsi="仿宋" w:eastAsia="仿宋_GB2312" w:cs="Calibri"/>
          <w:b w:val="0"/>
          <w:bCs w:val="0"/>
          <w:i w:val="0"/>
          <w:caps w:val="0"/>
          <w:color w:val="000000"/>
          <w:spacing w:val="0"/>
          <w:w w:val="100"/>
          <w:sz w:val="32"/>
          <w:szCs w:val="32"/>
        </w:rPr>
        <w:t xml:space="preserve">万元。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60" w:lineRule="exact"/>
        <w:ind w:firstLine="640" w:firstLineChars="200"/>
        <w:jc w:val="both"/>
        <w:textAlignment w:val="baseline"/>
        <w:rPr>
          <w:rFonts w:ascii="仿宋_GB2312" w:hAnsi="仿宋" w:eastAsia="仿宋_GB2312" w:cs="Calibri"/>
          <w:b w:val="0"/>
          <w:bCs w:val="0"/>
          <w:i w:val="0"/>
          <w:caps w:val="0"/>
          <w:color w:val="000000"/>
          <w:spacing w:val="0"/>
          <w:w w:val="100"/>
          <w:sz w:val="32"/>
          <w:szCs w:val="32"/>
        </w:rPr>
      </w:pPr>
      <w:r>
        <w:rPr>
          <w:rFonts w:hint="eastAsia" w:ascii="仿宋_GB2312" w:hAnsi="仿宋" w:eastAsia="仿宋_GB2312" w:cs="Calibri"/>
          <w:b w:val="0"/>
          <w:bCs w:val="0"/>
          <w:i w:val="0"/>
          <w:caps w:val="0"/>
          <w:color w:val="000000"/>
          <w:spacing w:val="0"/>
          <w:w w:val="100"/>
          <w:sz w:val="32"/>
          <w:szCs w:val="32"/>
          <w:lang w:eastAsia="zh-CN"/>
        </w:rPr>
        <w:t>②</w:t>
      </w:r>
      <w:r>
        <w:rPr>
          <w:rFonts w:hint="eastAsia" w:ascii="仿宋_GB2312" w:hAnsi="仿宋" w:eastAsia="仿宋_GB2312" w:cs="Calibri"/>
          <w:b w:val="0"/>
          <w:bCs w:val="0"/>
          <w:i w:val="0"/>
          <w:caps w:val="0"/>
          <w:color w:val="000000"/>
          <w:spacing w:val="0"/>
          <w:w w:val="100"/>
          <w:sz w:val="32"/>
          <w:szCs w:val="32"/>
        </w:rPr>
        <w:t>本年收入</w:t>
      </w:r>
      <w:r>
        <w:rPr>
          <w:rFonts w:hint="eastAsia" w:ascii="仿宋_GB2312" w:hAnsi="仿宋" w:eastAsia="仿宋_GB2312" w:cs="Calibri"/>
          <w:b w:val="0"/>
          <w:bCs w:val="0"/>
          <w:i w:val="0"/>
          <w:caps w:val="0"/>
          <w:color w:val="000000"/>
          <w:spacing w:val="0"/>
          <w:w w:val="100"/>
          <w:sz w:val="32"/>
          <w:szCs w:val="32"/>
          <w:lang w:val="en-US" w:eastAsia="zh-CN"/>
        </w:rPr>
        <w:t>42064</w:t>
      </w:r>
      <w:r>
        <w:rPr>
          <w:rFonts w:hint="eastAsia" w:ascii="仿宋_GB2312" w:hAnsi="仿宋" w:eastAsia="仿宋_GB2312" w:cs="Calibri"/>
          <w:b w:val="0"/>
          <w:bCs w:val="0"/>
          <w:i w:val="0"/>
          <w:caps w:val="0"/>
          <w:color w:val="000000"/>
          <w:spacing w:val="0"/>
          <w:w w:val="100"/>
          <w:sz w:val="32"/>
          <w:szCs w:val="32"/>
        </w:rPr>
        <w:t>万元。分别是：城乡居民基本养老保险</w:t>
      </w:r>
      <w:r>
        <w:rPr>
          <w:rFonts w:hint="eastAsia" w:ascii="仿宋_GB2312" w:hAnsi="仿宋" w:eastAsia="仿宋_GB2312" w:cs="Calibri"/>
          <w:b w:val="0"/>
          <w:bCs w:val="0"/>
          <w:i w:val="0"/>
          <w:caps w:val="0"/>
          <w:color w:val="000000"/>
          <w:spacing w:val="0"/>
          <w:w w:val="100"/>
          <w:sz w:val="32"/>
          <w:szCs w:val="32"/>
          <w:lang w:val="en-US" w:eastAsia="zh-CN"/>
        </w:rPr>
        <w:t>12411</w:t>
      </w:r>
      <w:r>
        <w:rPr>
          <w:rFonts w:hint="eastAsia" w:ascii="仿宋_GB2312" w:hAnsi="仿宋" w:eastAsia="仿宋_GB2312" w:cs="Calibri"/>
          <w:b w:val="0"/>
          <w:bCs w:val="0"/>
          <w:i w:val="0"/>
          <w:caps w:val="0"/>
          <w:color w:val="000000"/>
          <w:spacing w:val="0"/>
          <w:w w:val="100"/>
          <w:sz w:val="32"/>
          <w:szCs w:val="32"/>
        </w:rPr>
        <w:t>万元、机关事业单位基本养老保险</w:t>
      </w:r>
      <w:r>
        <w:rPr>
          <w:rFonts w:hint="eastAsia" w:ascii="仿宋_GB2312" w:hAnsi="仿宋" w:eastAsia="仿宋_GB2312" w:cs="Calibri"/>
          <w:b w:val="0"/>
          <w:bCs w:val="0"/>
          <w:i w:val="0"/>
          <w:caps w:val="0"/>
          <w:color w:val="000000"/>
          <w:spacing w:val="0"/>
          <w:w w:val="100"/>
          <w:sz w:val="32"/>
          <w:szCs w:val="32"/>
          <w:lang w:val="en-US" w:eastAsia="zh-CN"/>
        </w:rPr>
        <w:t>29653</w:t>
      </w:r>
      <w:r>
        <w:rPr>
          <w:rFonts w:hint="eastAsia" w:ascii="仿宋_GB2312" w:hAnsi="仿宋" w:eastAsia="仿宋_GB2312" w:cs="Calibri"/>
          <w:b w:val="0"/>
          <w:bCs w:val="0"/>
          <w:i w:val="0"/>
          <w:caps w:val="0"/>
          <w:color w:val="000000"/>
          <w:spacing w:val="0"/>
          <w:w w:val="100"/>
          <w:sz w:val="32"/>
          <w:szCs w:val="32"/>
        </w:rPr>
        <w:t>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60" w:lineRule="exact"/>
        <w:ind w:firstLine="640" w:firstLineChars="200"/>
        <w:jc w:val="both"/>
        <w:textAlignment w:val="baseline"/>
        <w:rPr>
          <w:rFonts w:ascii="仿宋_GB2312" w:hAnsi="仿宋" w:eastAsia="仿宋_GB2312" w:cs="Calibri"/>
          <w:b w:val="0"/>
          <w:bCs w:val="0"/>
          <w:i w:val="0"/>
          <w:caps w:val="0"/>
          <w:color w:val="000000"/>
          <w:spacing w:val="0"/>
          <w:w w:val="100"/>
          <w:sz w:val="32"/>
          <w:szCs w:val="32"/>
        </w:rPr>
      </w:pPr>
      <w:r>
        <w:rPr>
          <w:rFonts w:hint="eastAsia" w:ascii="仿宋_GB2312" w:hAnsi="仿宋" w:eastAsia="仿宋_GB2312" w:cs="Calibri"/>
          <w:b w:val="0"/>
          <w:bCs w:val="0"/>
          <w:i w:val="0"/>
          <w:caps w:val="0"/>
          <w:color w:val="000000"/>
          <w:spacing w:val="0"/>
          <w:w w:val="100"/>
          <w:sz w:val="32"/>
          <w:szCs w:val="32"/>
        </w:rPr>
        <w:t>收入总计</w:t>
      </w:r>
      <w:r>
        <w:rPr>
          <w:rFonts w:hint="eastAsia" w:ascii="仿宋_GB2312" w:hAnsi="仿宋" w:eastAsia="仿宋_GB2312" w:cs="Calibri"/>
          <w:b w:val="0"/>
          <w:bCs w:val="0"/>
          <w:i w:val="0"/>
          <w:caps w:val="0"/>
          <w:color w:val="000000"/>
          <w:spacing w:val="0"/>
          <w:w w:val="100"/>
          <w:sz w:val="32"/>
          <w:szCs w:val="32"/>
          <w:lang w:val="en-US" w:eastAsia="zh-CN"/>
        </w:rPr>
        <w:t>75962</w:t>
      </w:r>
      <w:r>
        <w:rPr>
          <w:rFonts w:hint="eastAsia" w:ascii="仿宋_GB2312" w:hAnsi="仿宋" w:eastAsia="仿宋_GB2312" w:cs="Calibri"/>
          <w:b w:val="0"/>
          <w:bCs w:val="0"/>
          <w:i w:val="0"/>
          <w:caps w:val="0"/>
          <w:color w:val="000000"/>
          <w:spacing w:val="0"/>
          <w:w w:val="100"/>
          <w:sz w:val="32"/>
          <w:szCs w:val="32"/>
        </w:rPr>
        <w:t>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60" w:lineRule="exact"/>
        <w:ind w:firstLine="642" w:firstLineChars="200"/>
        <w:jc w:val="both"/>
        <w:textAlignment w:val="baseline"/>
        <w:rPr>
          <w:rFonts w:ascii="仿宋_GB2312" w:hAnsi="仿宋" w:eastAsia="仿宋_GB2312" w:cs="Calibri"/>
          <w:b/>
          <w:bCs/>
          <w:i w:val="0"/>
          <w:caps w:val="0"/>
          <w:color w:val="000000"/>
          <w:spacing w:val="0"/>
          <w:w w:val="100"/>
          <w:sz w:val="32"/>
          <w:szCs w:val="32"/>
        </w:rPr>
      </w:pPr>
      <w:r>
        <w:rPr>
          <w:rFonts w:hint="eastAsia" w:ascii="仿宋_GB2312" w:hAnsi="仿宋" w:eastAsia="仿宋_GB2312" w:cs="Calibri"/>
          <w:b/>
          <w:bCs/>
          <w:i w:val="0"/>
          <w:caps w:val="0"/>
          <w:color w:val="000000"/>
          <w:spacing w:val="0"/>
          <w:w w:val="100"/>
          <w:sz w:val="32"/>
          <w:szCs w:val="32"/>
          <w:lang w:eastAsia="zh-CN"/>
        </w:rPr>
        <w:t>（</w:t>
      </w:r>
      <w:r>
        <w:rPr>
          <w:rFonts w:hint="eastAsia" w:ascii="仿宋_GB2312" w:hAnsi="仿宋" w:eastAsia="仿宋_GB2312" w:cs="Calibri"/>
          <w:b/>
          <w:bCs/>
          <w:i w:val="0"/>
          <w:caps w:val="0"/>
          <w:color w:val="000000"/>
          <w:spacing w:val="0"/>
          <w:w w:val="100"/>
          <w:sz w:val="32"/>
          <w:szCs w:val="32"/>
          <w:lang w:val="en-US" w:eastAsia="zh-CN"/>
        </w:rPr>
        <w:t>2</w:t>
      </w:r>
      <w:r>
        <w:rPr>
          <w:rFonts w:hint="eastAsia" w:ascii="仿宋_GB2312" w:hAnsi="仿宋" w:eastAsia="仿宋_GB2312" w:cs="Calibri"/>
          <w:b/>
          <w:bCs/>
          <w:i w:val="0"/>
          <w:caps w:val="0"/>
          <w:color w:val="000000"/>
          <w:spacing w:val="0"/>
          <w:w w:val="100"/>
          <w:sz w:val="32"/>
          <w:szCs w:val="32"/>
          <w:lang w:eastAsia="zh-CN"/>
        </w:rPr>
        <w:t>）</w:t>
      </w:r>
      <w:r>
        <w:rPr>
          <w:rFonts w:hint="eastAsia" w:ascii="仿宋_GB2312" w:hAnsi="仿宋" w:eastAsia="仿宋_GB2312" w:cs="Calibri"/>
          <w:b/>
          <w:bCs/>
          <w:i w:val="0"/>
          <w:caps w:val="0"/>
          <w:color w:val="000000"/>
          <w:spacing w:val="0"/>
          <w:w w:val="100"/>
          <w:sz w:val="32"/>
          <w:szCs w:val="32"/>
        </w:rPr>
        <w:t>支出情况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60" w:lineRule="exact"/>
        <w:ind w:firstLine="640" w:firstLineChars="200"/>
        <w:jc w:val="both"/>
        <w:textAlignment w:val="baseline"/>
        <w:rPr>
          <w:rFonts w:ascii="仿宋_GB2312" w:hAnsi="仿宋" w:eastAsia="仿宋_GB2312" w:cs="Calibri"/>
          <w:b w:val="0"/>
          <w:bCs w:val="0"/>
          <w:i w:val="0"/>
          <w:caps w:val="0"/>
          <w:color w:val="000000"/>
          <w:spacing w:val="0"/>
          <w:w w:val="100"/>
          <w:sz w:val="32"/>
          <w:szCs w:val="32"/>
        </w:rPr>
      </w:pPr>
      <w:r>
        <w:rPr>
          <w:rFonts w:hint="eastAsia" w:ascii="仿宋_GB2312" w:hAnsi="仿宋" w:eastAsia="仿宋_GB2312" w:cs="Calibri"/>
          <w:b w:val="0"/>
          <w:bCs w:val="0"/>
          <w:i w:val="0"/>
          <w:caps w:val="0"/>
          <w:color w:val="000000"/>
          <w:spacing w:val="0"/>
          <w:w w:val="100"/>
          <w:sz w:val="32"/>
          <w:szCs w:val="32"/>
        </w:rPr>
        <w:t>202</w:t>
      </w:r>
      <w:r>
        <w:rPr>
          <w:rFonts w:hint="eastAsia" w:ascii="仿宋_GB2312" w:hAnsi="仿宋" w:eastAsia="仿宋_GB2312" w:cs="Calibri"/>
          <w:b w:val="0"/>
          <w:bCs w:val="0"/>
          <w:i w:val="0"/>
          <w:caps w:val="0"/>
          <w:color w:val="000000"/>
          <w:spacing w:val="0"/>
          <w:w w:val="100"/>
          <w:sz w:val="32"/>
          <w:szCs w:val="32"/>
          <w:lang w:val="en-US" w:eastAsia="zh-CN"/>
        </w:rPr>
        <w:t>2</w:t>
      </w:r>
      <w:r>
        <w:rPr>
          <w:rFonts w:hint="eastAsia" w:ascii="仿宋_GB2312" w:hAnsi="仿宋" w:eastAsia="仿宋_GB2312" w:cs="Calibri"/>
          <w:b w:val="0"/>
          <w:bCs w:val="0"/>
          <w:i w:val="0"/>
          <w:caps w:val="0"/>
          <w:color w:val="000000"/>
          <w:spacing w:val="0"/>
          <w:w w:val="100"/>
          <w:sz w:val="32"/>
          <w:szCs w:val="32"/>
        </w:rPr>
        <w:t>年全区社会保险支出</w:t>
      </w:r>
      <w:r>
        <w:rPr>
          <w:rFonts w:hint="eastAsia" w:ascii="仿宋_GB2312" w:hAnsi="仿宋" w:eastAsia="仿宋_GB2312" w:cs="Calibri"/>
          <w:b w:val="0"/>
          <w:bCs w:val="0"/>
          <w:i w:val="0"/>
          <w:caps w:val="0"/>
          <w:color w:val="000000"/>
          <w:spacing w:val="0"/>
          <w:w w:val="100"/>
          <w:sz w:val="32"/>
          <w:szCs w:val="32"/>
          <w:lang w:val="en-US" w:eastAsia="zh-CN"/>
        </w:rPr>
        <w:t>37618</w:t>
      </w:r>
      <w:r>
        <w:rPr>
          <w:rFonts w:hint="eastAsia" w:ascii="仿宋_GB2312" w:hAnsi="仿宋" w:eastAsia="仿宋_GB2312" w:cs="Calibri"/>
          <w:b w:val="0"/>
          <w:bCs w:val="0"/>
          <w:i w:val="0"/>
          <w:caps w:val="0"/>
          <w:color w:val="000000"/>
          <w:spacing w:val="0"/>
          <w:w w:val="100"/>
          <w:sz w:val="32"/>
          <w:szCs w:val="32"/>
        </w:rPr>
        <w:t>万元。分别是：城乡居民基本养老保险</w:t>
      </w:r>
      <w:r>
        <w:rPr>
          <w:rFonts w:hint="eastAsia" w:ascii="仿宋_GB2312" w:hAnsi="仿宋" w:eastAsia="仿宋_GB2312" w:cs="Calibri"/>
          <w:b w:val="0"/>
          <w:bCs w:val="0"/>
          <w:i w:val="0"/>
          <w:caps w:val="0"/>
          <w:color w:val="000000"/>
          <w:spacing w:val="0"/>
          <w:w w:val="100"/>
          <w:sz w:val="32"/>
          <w:szCs w:val="32"/>
          <w:lang w:val="en-US" w:eastAsia="zh-CN"/>
        </w:rPr>
        <w:t>8003</w:t>
      </w:r>
      <w:r>
        <w:rPr>
          <w:rFonts w:hint="eastAsia" w:ascii="仿宋_GB2312" w:hAnsi="仿宋" w:eastAsia="仿宋_GB2312" w:cs="Calibri"/>
          <w:b w:val="0"/>
          <w:bCs w:val="0"/>
          <w:i w:val="0"/>
          <w:caps w:val="0"/>
          <w:color w:val="000000"/>
          <w:spacing w:val="0"/>
          <w:w w:val="100"/>
          <w:sz w:val="32"/>
          <w:szCs w:val="32"/>
        </w:rPr>
        <w:t>万元、机关事业单位基本养老保险</w:t>
      </w:r>
      <w:r>
        <w:rPr>
          <w:rFonts w:hint="eastAsia" w:ascii="仿宋_GB2312" w:hAnsi="仿宋" w:eastAsia="仿宋_GB2312" w:cs="Calibri"/>
          <w:b w:val="0"/>
          <w:bCs w:val="0"/>
          <w:i w:val="0"/>
          <w:caps w:val="0"/>
          <w:color w:val="000000"/>
          <w:spacing w:val="0"/>
          <w:w w:val="100"/>
          <w:sz w:val="32"/>
          <w:szCs w:val="32"/>
          <w:lang w:val="en-US" w:eastAsia="zh-CN"/>
        </w:rPr>
        <w:t>29615</w:t>
      </w:r>
      <w:r>
        <w:rPr>
          <w:rFonts w:hint="eastAsia" w:ascii="仿宋_GB2312" w:hAnsi="仿宋" w:eastAsia="仿宋_GB2312" w:cs="Calibri"/>
          <w:b w:val="0"/>
          <w:bCs w:val="0"/>
          <w:i w:val="0"/>
          <w:caps w:val="0"/>
          <w:color w:val="000000"/>
          <w:spacing w:val="0"/>
          <w:w w:val="100"/>
          <w:sz w:val="32"/>
          <w:szCs w:val="32"/>
        </w:rPr>
        <w:t>万元。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60" w:lineRule="exact"/>
        <w:ind w:firstLine="640" w:firstLineChars="200"/>
        <w:jc w:val="both"/>
        <w:textAlignment w:val="baseline"/>
        <w:rPr>
          <w:rFonts w:hint="eastAsia" w:ascii="仿宋_GB2312" w:hAnsi="仿宋" w:eastAsia="仿宋_GB2312" w:cs="Calibri"/>
          <w:b w:val="0"/>
          <w:bCs w:val="0"/>
          <w:i w:val="0"/>
          <w:caps w:val="0"/>
          <w:color w:val="000000"/>
          <w:spacing w:val="0"/>
          <w:w w:val="100"/>
          <w:sz w:val="32"/>
          <w:szCs w:val="32"/>
        </w:rPr>
      </w:pPr>
      <w:r>
        <w:rPr>
          <w:rFonts w:hint="eastAsia" w:ascii="仿宋_GB2312" w:hAnsi="仿宋" w:eastAsia="仿宋_GB2312" w:cs="Calibri"/>
          <w:b w:val="0"/>
          <w:bCs w:val="0"/>
          <w:i w:val="0"/>
          <w:caps w:val="0"/>
          <w:color w:val="000000"/>
          <w:spacing w:val="0"/>
          <w:w w:val="100"/>
          <w:sz w:val="32"/>
          <w:szCs w:val="32"/>
          <w:lang w:eastAsia="zh-CN"/>
        </w:rPr>
        <w:t>（</w:t>
      </w:r>
      <w:r>
        <w:rPr>
          <w:rFonts w:hint="eastAsia" w:ascii="仿宋_GB2312" w:hAnsi="仿宋" w:eastAsia="仿宋_GB2312" w:cs="Calibri"/>
          <w:b w:val="0"/>
          <w:bCs w:val="0"/>
          <w:i w:val="0"/>
          <w:caps w:val="0"/>
          <w:color w:val="000000"/>
          <w:spacing w:val="0"/>
          <w:w w:val="100"/>
          <w:sz w:val="32"/>
          <w:szCs w:val="32"/>
          <w:lang w:val="en-US" w:eastAsia="zh-CN"/>
        </w:rPr>
        <w:t>3</w:t>
      </w:r>
      <w:r>
        <w:rPr>
          <w:rFonts w:hint="eastAsia" w:ascii="仿宋_GB2312" w:hAnsi="仿宋" w:eastAsia="仿宋_GB2312" w:cs="Calibri"/>
          <w:b w:val="0"/>
          <w:bCs w:val="0"/>
          <w:i w:val="0"/>
          <w:caps w:val="0"/>
          <w:color w:val="000000"/>
          <w:spacing w:val="0"/>
          <w:w w:val="100"/>
          <w:sz w:val="32"/>
          <w:szCs w:val="32"/>
          <w:lang w:eastAsia="zh-CN"/>
        </w:rPr>
        <w:t>）</w:t>
      </w:r>
      <w:r>
        <w:rPr>
          <w:rFonts w:hint="eastAsia" w:ascii="仿宋_GB2312" w:hAnsi="仿宋" w:eastAsia="仿宋_GB2312" w:cs="Calibri"/>
          <w:b w:val="0"/>
          <w:bCs w:val="0"/>
          <w:i w:val="0"/>
          <w:caps w:val="0"/>
          <w:color w:val="000000"/>
          <w:spacing w:val="0"/>
          <w:w w:val="100"/>
          <w:sz w:val="32"/>
          <w:szCs w:val="32"/>
        </w:rPr>
        <w:t>收支相抵</w:t>
      </w:r>
      <w:r>
        <w:rPr>
          <w:rFonts w:hint="eastAsia" w:ascii="仿宋_GB2312" w:hAnsi="仿宋" w:eastAsia="仿宋_GB2312" w:cs="Calibri"/>
          <w:b w:val="0"/>
          <w:bCs w:val="0"/>
          <w:i w:val="0"/>
          <w:caps w:val="0"/>
          <w:color w:val="000000"/>
          <w:spacing w:val="0"/>
          <w:w w:val="100"/>
          <w:sz w:val="32"/>
          <w:szCs w:val="32"/>
          <w:lang w:val="en-US" w:eastAsia="zh-CN"/>
        </w:rPr>
        <w:t>滚存</w:t>
      </w:r>
      <w:r>
        <w:rPr>
          <w:rFonts w:hint="eastAsia" w:ascii="仿宋_GB2312" w:hAnsi="仿宋" w:eastAsia="仿宋_GB2312" w:cs="Calibri"/>
          <w:b w:val="0"/>
          <w:bCs w:val="0"/>
          <w:i w:val="0"/>
          <w:caps w:val="0"/>
          <w:color w:val="000000"/>
          <w:spacing w:val="0"/>
          <w:w w:val="100"/>
          <w:sz w:val="32"/>
          <w:szCs w:val="32"/>
        </w:rPr>
        <w:t>结余</w:t>
      </w:r>
      <w:r>
        <w:rPr>
          <w:rFonts w:hint="eastAsia" w:ascii="仿宋_GB2312" w:hAnsi="仿宋" w:eastAsia="仿宋_GB2312" w:cs="Calibri"/>
          <w:b w:val="0"/>
          <w:bCs w:val="0"/>
          <w:i w:val="0"/>
          <w:caps w:val="0"/>
          <w:color w:val="000000"/>
          <w:spacing w:val="0"/>
          <w:w w:val="100"/>
          <w:sz w:val="32"/>
          <w:szCs w:val="32"/>
          <w:lang w:val="en-US" w:eastAsia="zh-CN"/>
        </w:rPr>
        <w:t>39453</w:t>
      </w:r>
      <w:r>
        <w:rPr>
          <w:rFonts w:hint="eastAsia" w:ascii="仿宋_GB2312" w:hAnsi="仿宋" w:eastAsia="仿宋_GB2312" w:cs="Calibri"/>
          <w:b w:val="0"/>
          <w:bCs w:val="0"/>
          <w:i w:val="0"/>
          <w:caps w:val="0"/>
          <w:color w:val="000000"/>
          <w:spacing w:val="0"/>
          <w:w w:val="100"/>
          <w:sz w:val="32"/>
          <w:szCs w:val="32"/>
        </w:rPr>
        <w:t>万元。分别是：城乡居民基本养老保险</w:t>
      </w:r>
      <w:r>
        <w:rPr>
          <w:rFonts w:hint="eastAsia" w:ascii="仿宋_GB2312" w:hAnsi="仿宋" w:eastAsia="仿宋_GB2312" w:cs="Calibri"/>
          <w:b w:val="0"/>
          <w:bCs w:val="0"/>
          <w:i w:val="0"/>
          <w:caps w:val="0"/>
          <w:color w:val="000000"/>
          <w:spacing w:val="0"/>
          <w:w w:val="100"/>
          <w:sz w:val="32"/>
          <w:szCs w:val="32"/>
          <w:lang w:val="en-US" w:eastAsia="zh-CN"/>
        </w:rPr>
        <w:t>37754</w:t>
      </w:r>
      <w:r>
        <w:rPr>
          <w:rFonts w:hint="eastAsia" w:ascii="仿宋_GB2312" w:hAnsi="仿宋" w:eastAsia="仿宋_GB2312" w:cs="Calibri"/>
          <w:b w:val="0"/>
          <w:bCs w:val="0"/>
          <w:i w:val="0"/>
          <w:caps w:val="0"/>
          <w:color w:val="000000"/>
          <w:spacing w:val="0"/>
          <w:w w:val="100"/>
          <w:sz w:val="32"/>
          <w:szCs w:val="32"/>
        </w:rPr>
        <w:t>万元、机关事业单位基本养老保险</w:t>
      </w:r>
      <w:r>
        <w:rPr>
          <w:rFonts w:hint="eastAsia" w:ascii="仿宋_GB2312" w:hAnsi="仿宋" w:eastAsia="仿宋_GB2312" w:cs="Calibri"/>
          <w:b w:val="0"/>
          <w:bCs w:val="0"/>
          <w:i w:val="0"/>
          <w:caps w:val="0"/>
          <w:color w:val="000000"/>
          <w:spacing w:val="0"/>
          <w:w w:val="100"/>
          <w:sz w:val="32"/>
          <w:szCs w:val="32"/>
          <w:lang w:val="en-US" w:eastAsia="zh-CN"/>
        </w:rPr>
        <w:t>1669</w:t>
      </w:r>
      <w:r>
        <w:rPr>
          <w:rFonts w:hint="eastAsia" w:ascii="仿宋_GB2312" w:hAnsi="仿宋" w:eastAsia="仿宋_GB2312" w:cs="Calibri"/>
          <w:b w:val="0"/>
          <w:bCs w:val="0"/>
          <w:i w:val="0"/>
          <w:caps w:val="0"/>
          <w:color w:val="000000"/>
          <w:spacing w:val="0"/>
          <w:w w:val="100"/>
          <w:sz w:val="32"/>
          <w:szCs w:val="32"/>
        </w:rPr>
        <w:t>万元。</w:t>
      </w:r>
    </w:p>
    <w:p>
      <w:pPr>
        <w:keepNext w:val="0"/>
        <w:keepLines w:val="0"/>
        <w:pageBreakBefore w:val="0"/>
        <w:widowControl w:val="0"/>
        <w:numPr>
          <w:ilvl w:val="0"/>
          <w:numId w:val="5"/>
        </w:numPr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firstLine="642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国有资本经营预算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jc w:val="left"/>
        <w:textAlignment w:val="auto"/>
        <w:rPr>
          <w:rFonts w:hint="eastAsia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2022年，朔城区无国有资本经营预算。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2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5、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债务情况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上级已下达我区2022年新增政府债券额度16000万元，其中：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一般债券6000万元，包括新建第八幼儿园1000万元、第二幼儿园改扩建1000万元、六小改扩建2170万元、福源附属幼儿园扩建640万元、十中附属育儿园扩建720万元、八小附属幼儿园扩建470万元；专项债券10000万元，用于人民医院改扩建项目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一般债券以一般公共预算收入偿还，专项债券以对应的政府性基金或专项收入偿还。</w:t>
      </w:r>
    </w:p>
    <w:p>
      <w:pPr>
        <w:keepNext w:val="0"/>
        <w:keepLines w:val="0"/>
        <w:pageBreakBefore w:val="0"/>
        <w:widowControl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jc w:val="both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三、完成2022年预算任务的主要措施</w:t>
      </w:r>
    </w:p>
    <w:p>
      <w:pPr>
        <w:keepNext w:val="0"/>
        <w:keepLines w:val="0"/>
        <w:pageBreakBefore w:val="0"/>
        <w:widowControl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年财政工作坚持以习近平新时代中国特色社会主义思想为指导，全面贯彻党的十九大和十九届历次全会精神，深入贯彻习近平总书记视察山西重要讲话重要指示精神，认真落实中央和省委省政府、市委市政府、区委区政府关于财政经济工作的各项部署，围绕“建设市域核心区、打造品质新朔城”奋斗目标，把稳中求进工作总基调贯穿全年财政工作始终，对标前行，苦干实干，不断提升财政保障能力，助力全区全方位推进高质量发展。</w:t>
      </w:r>
    </w:p>
    <w:p>
      <w:pPr>
        <w:keepNext w:val="0"/>
        <w:keepLines w:val="0"/>
        <w:pageBreakBefore w:val="0"/>
        <w:widowControl w:val="0"/>
        <w:numPr>
          <w:ilvl w:val="0"/>
          <w:numId w:val="6"/>
        </w:numPr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楷体_GB2312" w:hAnsi="楷体_GB2312" w:eastAsia="楷体_GB2312" w:cs="楷体_GB2312"/>
          <w:b w:val="0"/>
          <w:bCs w:val="0"/>
          <w:sz w:val="32"/>
          <w:szCs w:val="32"/>
          <w:lang w:eastAsia="zh-CN"/>
        </w:rPr>
        <w:t>坚持全面从严治党，进一步压实党建责任。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以党建作为财政工作的统揽，坚决拥护“两个确立”，增强“四个意识”、坚定“四个自信”、做到“两个维护”；进一步严明党的政治纪律和政治规矩，加强政治思想建设，加强组织队伍建设，加强作风纪律建设，加强反腐倡廉建设，不断提高财政党建质量和水平，激励财政干部忠诚履职、勇于担当，营造风清气正的财政理财环境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楷体_GB2312" w:hAnsi="楷体_GB2312" w:eastAsia="楷体_GB2312" w:cs="楷体_GB2312"/>
          <w:b w:val="0"/>
          <w:bCs w:val="0"/>
          <w:sz w:val="32"/>
          <w:szCs w:val="32"/>
          <w:lang w:eastAsia="zh-CN"/>
        </w:rPr>
        <w:t>（二）加大组织收入力度，提升财政保障能力。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紧紧围绕区委、区政府的经济发展思路，力争完成全年财政工作任务，并在实际工作中尽可能争取更好结果。一是厚植支撑根基。财税部门加强联动，多管齐下，挖掘增收潜力，堵塞征管漏洞，确保应收尽收。加强动态管理，严格税收征管，通过财税库银联席会议制度和财政人行联网系统，动态掌握各部门、各税种实时入库情况，及时调整征收计划，督促各执法部门加快违法违规处理和罚没资产移交进度，确保各项罚没收入应缴尽缴，争取超额完成征收任务。二是加大投资力度。围绕产业转型、重大基础设施、重大社会民生项目，不断拓展资金来源渠道，想方设法加强资金供给。精准把握中央、省、市政策资金支持的方向重点，与主管部门协同配合，建立项目库，做好项目谋划、储备和申报，争取中央、省、市财政支持。三是落实好减税降费政策。深入中小微企业、个体工商户加强政策宣传，不折不扣落实各项税费优惠政策。</w:t>
      </w:r>
    </w:p>
    <w:p>
      <w:pPr>
        <w:keepNext w:val="0"/>
        <w:keepLines w:val="0"/>
        <w:pageBreakBefore w:val="0"/>
        <w:widowControl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楷体_GB2312" w:hAnsi="楷体_GB2312" w:eastAsia="楷体_GB2312" w:cs="楷体_GB2312"/>
          <w:b w:val="0"/>
          <w:bCs w:val="0"/>
          <w:sz w:val="32"/>
          <w:szCs w:val="32"/>
          <w:lang w:eastAsia="zh-CN"/>
        </w:rPr>
        <w:t>（三）持续优化支出结构，提高资金使用效益。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一是加大统筹力度。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统筹财政资金与单位资金，单位依法依规将取得的各类收入全部纳入单位预算，编制预算时优先使用单位资金安排支出预算。统筹本级资金与上级资金，原则上上级资金能够满足项目支出需求的，区级不再安排相关预算资金。强化部门和单位预算管理，年初预算批复后，除上级和区委区政府出台政策、特殊民生需要以及不可抗力等应急救灾以外，执行中一般不追加预算，各部门原则上不增加新的政策性支出，必须增加的通过以后年度预算安排资金。盘活各类存量资源，完善结转结余资金收回使用机制，健全财政存量资金与预算安排统筹结合的机制。建立健全大事要事项目库，新增财力重点用于项目库项目，同时统筹相关资金予以倾斜。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二是深化支出改革。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牢固树立过“紧日子”思想，不断完善过紧日子的制度体系。将培训费、会议费、差旅费、“三公”经费等该减的减、该压的压，严禁铺张浪费、敞口支出。实施预算执行进度考核通报制度，对每个月预算执行不达序时进度的部门，非刚性运转类支出压减1%；对连续三个月预算执行不达序时进度的部门，非刚性运转类支出压减3%；对全年预算执行进度低于80%的部门，非刚性运转类支出压减5%；对预算执行进度慢的项目，取消或压减预算安排，有效控制新增结转结余资金。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三是强化全流程管理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继续巩固深化国库集中支付制度改革，确保财政预算管理一体化系统平稳运行。严格预算绩效管理，扎实开展事前绩效评估，并将评估结果作为申请预算的必要条件，强化绩效运行监控和绩效评价结果应用，加大财政投资评审力度，规范政府采购行为，有效节约资金，提高资金使用效益，把有限的资金花在刀刃上。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四是加强政府债务管理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健全政府依法适度举债机制，加强新增债务管理，精准投向重点领域和重大项目。坚持以稳为主，全力防范化解政府债务风险。按照坚定、可控、有序、适度的原则，坚决遏制隐性债务增量，压减隐性债务存量。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五是提升政府采购服务水平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健全现代政府采购制度体系，完善在线监管功能，全程掌握政府采购过程，创优政府采购电子平台，进一步提高了采购效率和透明度，大幅度提升政府采购服务水平，畅通公开投诉渠道，及时全面在线受理。引深业务培训，加强监督检查。</w:t>
      </w:r>
    </w:p>
    <w:p>
      <w:pPr>
        <w:keepNext w:val="0"/>
        <w:keepLines w:val="0"/>
        <w:pageBreakBefore w:val="0"/>
        <w:widowControl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eastAsia="zh-CN"/>
        </w:rPr>
        <w:t>（四）坚持民生投入优先，切实保障改善民生。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始终做到民生投入优先安排，民生资金优先调度，民生事业优先发展。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一是推进巩固拓展脱贫攻坚成果同乡村振兴有效衔接。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落实“四个不摘”要求，保持财政支持政策和资金规模总体稳定，重点向巩固拓展脱贫攻坚成果任务重、乡村振兴底子差的乡镇倾斜。健全防止返贫的动态监测和帮扶机制，巩固“两不愁三保障”成果。继续加强财政扶贫资金监管监控，强化扶贫项目资金绩效管理，保证项目实施达标达效。抓好脱贫攻坚与乡村振兴的有效衔接，保持帮扶政策的总体稳定。建立乡村振兴投入保障机制。提高土地出让收入用于农业农村比例。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二是大力支持教育文化事业。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加强基础教育，构建优质教育体系。认真落实国家关于义务教育“双减”和规范民办教育等有关政策。加大城乡义务教育补助经费投入，加强薄弱环节改善与能力提升，提高教师工资待遇，促进义务教育优质均衡发展。持续扩大普惠性学前教育资源。全面贯彻落实学生资助全覆盖工程，足额安排学生资助经费。支持发展文化事业产业，健全基本公共文化服务财政保障机制，稳步提高基本公共文化服务均等化水平。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三是持续加强社会保障。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实施城乡居民补充养老保险制度。提高城乡居民最低生活保障标准。做好社会救助、社会福利、慈善、优抚安置等工作。强化就业优先政策，保障就业资金持续稳定投入，加大对重点群体就业的帮扶，推动稳就业保住基本盘。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四是提升医疗卫生服务水平。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完善城乡居民医保财政补助政策，提高基本公共卫生服务财政保障水平。</w:t>
      </w:r>
    </w:p>
    <w:p>
      <w:pPr>
        <w:keepNext w:val="0"/>
        <w:keepLines w:val="0"/>
        <w:pageBreakBefore w:val="0"/>
        <w:widowControl w:val="0"/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  <w:between w:val="none" w:color="auto" w:sz="0" w:space="0"/>
        </w:pBdr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jc w:val="both"/>
        <w:textAlignment w:val="auto"/>
        <w:outlineLvl w:val="9"/>
        <w:rPr>
          <w:color w:val="ED7D31" w:themeColor="accent2"/>
          <w14:textFill>
            <w14:solidFill>
              <w14:schemeClr w14:val="accent2"/>
            </w14:solidFill>
          </w14:textFill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各位代表，做好2022年财政工作，任务艰巨、责任重大。我们将认真贯彻区委、区政府的决策部署，自觉接受人大的监督，虚心听取政协的意见和建议，牢固树立过紧日子的思想，扎实做好财政预算各项工作，为全方位推动高质量发展，奋力建设市域核心区、打造品质新朔城做出更大的贡献，以优异成绩迎接党的二十大胜利召开！</w:t>
      </w: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503050405090304"/>
    <w:charset w:val="01"/>
    <w:family w:val="auto"/>
    <w:pitch w:val="default"/>
    <w:sig w:usb0="E0000AFF" w:usb1="00007843" w:usb2="00000001" w:usb3="00000000" w:csb0="400001BF" w:csb1="DFF70000"/>
  </w:font>
  <w:font w:name="宋体">
    <w:altName w:val="方正书宋_GBK"/>
    <w:panose1 w:val="02010600030101010101"/>
    <w:charset w:val="7A"/>
    <w:family w:val="auto"/>
    <w:pitch w:val="default"/>
    <w:sig w:usb0="00000000" w:usb1="0000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upright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4A77BDD"/>
    <w:multiLevelType w:val="singleLevel"/>
    <w:tmpl w:val="84A77BDD"/>
    <w:lvl w:ilvl="0" w:tentative="0">
      <w:start w:val="3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97D588AD"/>
    <w:multiLevelType w:val="singleLevel"/>
    <w:tmpl w:val="97D588AD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abstractNum w:abstractNumId="2">
    <w:nsid w:val="FA4BC988"/>
    <w:multiLevelType w:val="singleLevel"/>
    <w:tmpl w:val="FA4BC988"/>
    <w:lvl w:ilvl="0" w:tentative="0">
      <w:start w:val="1"/>
      <w:numFmt w:val="decimal"/>
      <w:suff w:val="nothing"/>
      <w:lvlText w:val="（%1）"/>
      <w:lvlJc w:val="left"/>
    </w:lvl>
  </w:abstractNum>
  <w:abstractNum w:abstractNumId="3">
    <w:nsid w:val="0094C204"/>
    <w:multiLevelType w:val="singleLevel"/>
    <w:tmpl w:val="0094C204"/>
    <w:lvl w:ilvl="0" w:tentative="0">
      <w:start w:val="3"/>
      <w:numFmt w:val="decimal"/>
      <w:suff w:val="nothing"/>
      <w:lvlText w:val="%1、"/>
      <w:lvlJc w:val="left"/>
    </w:lvl>
  </w:abstractNum>
  <w:abstractNum w:abstractNumId="4">
    <w:nsid w:val="1C0FEBB5"/>
    <w:multiLevelType w:val="singleLevel"/>
    <w:tmpl w:val="1C0FEBB5"/>
    <w:lvl w:ilvl="0" w:tentative="0">
      <w:start w:val="3"/>
      <w:numFmt w:val="decimal"/>
      <w:suff w:val="nothing"/>
      <w:lvlText w:val="（%1）"/>
      <w:lvlJc w:val="left"/>
    </w:lvl>
  </w:abstractNum>
  <w:abstractNum w:abstractNumId="5">
    <w:nsid w:val="342F69A3"/>
    <w:multiLevelType w:val="singleLevel"/>
    <w:tmpl w:val="342F69A3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  <w:num w:numId="2">
    <w:abstractNumId w:val="5"/>
  </w:num>
  <w:num w:numId="3">
    <w:abstractNumId w:val="4"/>
  </w:num>
  <w:num w:numId="4">
    <w:abstractNumId w:val="2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F3E6FAB"/>
    <w:rsid w:val="00CC65B7"/>
    <w:rsid w:val="01BD12F0"/>
    <w:rsid w:val="01FF1923"/>
    <w:rsid w:val="056F22D4"/>
    <w:rsid w:val="095C092D"/>
    <w:rsid w:val="0A1F35D8"/>
    <w:rsid w:val="0BF10B5F"/>
    <w:rsid w:val="0C7B7516"/>
    <w:rsid w:val="0C8E37AC"/>
    <w:rsid w:val="0D1365F6"/>
    <w:rsid w:val="0D2450BB"/>
    <w:rsid w:val="0DE454F1"/>
    <w:rsid w:val="0E95193D"/>
    <w:rsid w:val="0F1E2EF1"/>
    <w:rsid w:val="0F562D00"/>
    <w:rsid w:val="0FF71389"/>
    <w:rsid w:val="10710FF0"/>
    <w:rsid w:val="10A072CF"/>
    <w:rsid w:val="13F36C89"/>
    <w:rsid w:val="14AC788B"/>
    <w:rsid w:val="154B2554"/>
    <w:rsid w:val="15B7658B"/>
    <w:rsid w:val="15D822D0"/>
    <w:rsid w:val="168E50BE"/>
    <w:rsid w:val="17EB1D34"/>
    <w:rsid w:val="1897643A"/>
    <w:rsid w:val="18E9B831"/>
    <w:rsid w:val="1A155FF9"/>
    <w:rsid w:val="1D69308E"/>
    <w:rsid w:val="1D978FA0"/>
    <w:rsid w:val="1DBD1C5B"/>
    <w:rsid w:val="1DC793FC"/>
    <w:rsid w:val="1E0F0BE0"/>
    <w:rsid w:val="1E9F849B"/>
    <w:rsid w:val="1ECF3657"/>
    <w:rsid w:val="1FBD51AC"/>
    <w:rsid w:val="1FFF1E03"/>
    <w:rsid w:val="214D26EF"/>
    <w:rsid w:val="21763DCD"/>
    <w:rsid w:val="22180B38"/>
    <w:rsid w:val="223063DF"/>
    <w:rsid w:val="22E50C34"/>
    <w:rsid w:val="23364C3A"/>
    <w:rsid w:val="23A81F37"/>
    <w:rsid w:val="24305A06"/>
    <w:rsid w:val="2436454E"/>
    <w:rsid w:val="24547947"/>
    <w:rsid w:val="2645124A"/>
    <w:rsid w:val="26B17547"/>
    <w:rsid w:val="27977220"/>
    <w:rsid w:val="290A55BE"/>
    <w:rsid w:val="292A4D20"/>
    <w:rsid w:val="298B154A"/>
    <w:rsid w:val="2A2B76CD"/>
    <w:rsid w:val="2A5B56D8"/>
    <w:rsid w:val="2C091017"/>
    <w:rsid w:val="2C41002B"/>
    <w:rsid w:val="2C96511C"/>
    <w:rsid w:val="2C9A4A6C"/>
    <w:rsid w:val="2D4F51DC"/>
    <w:rsid w:val="2E29530E"/>
    <w:rsid w:val="2EDF37E8"/>
    <w:rsid w:val="2EF75A16"/>
    <w:rsid w:val="2FED3939"/>
    <w:rsid w:val="31C47323"/>
    <w:rsid w:val="33115BB3"/>
    <w:rsid w:val="341BFF69"/>
    <w:rsid w:val="34EA0520"/>
    <w:rsid w:val="3569443C"/>
    <w:rsid w:val="36B7F671"/>
    <w:rsid w:val="37CC2B33"/>
    <w:rsid w:val="37FFC1AE"/>
    <w:rsid w:val="3A505143"/>
    <w:rsid w:val="3B481FB1"/>
    <w:rsid w:val="3CD666F8"/>
    <w:rsid w:val="3CFC091A"/>
    <w:rsid w:val="3D6A7D83"/>
    <w:rsid w:val="3F892295"/>
    <w:rsid w:val="3FDF3553"/>
    <w:rsid w:val="42056D5F"/>
    <w:rsid w:val="42890CAC"/>
    <w:rsid w:val="4318430F"/>
    <w:rsid w:val="44CD3D6F"/>
    <w:rsid w:val="47405C41"/>
    <w:rsid w:val="48F15C65"/>
    <w:rsid w:val="4B297803"/>
    <w:rsid w:val="4FD92CAF"/>
    <w:rsid w:val="502111AF"/>
    <w:rsid w:val="50410327"/>
    <w:rsid w:val="50F96128"/>
    <w:rsid w:val="51777347"/>
    <w:rsid w:val="51D7649F"/>
    <w:rsid w:val="51FE6AEF"/>
    <w:rsid w:val="524C5D75"/>
    <w:rsid w:val="52E4767A"/>
    <w:rsid w:val="532150DF"/>
    <w:rsid w:val="53604A8A"/>
    <w:rsid w:val="536A22AE"/>
    <w:rsid w:val="53F7B562"/>
    <w:rsid w:val="54CB356B"/>
    <w:rsid w:val="5529612C"/>
    <w:rsid w:val="55C312D0"/>
    <w:rsid w:val="57B47CD4"/>
    <w:rsid w:val="59030BA4"/>
    <w:rsid w:val="5BFF5375"/>
    <w:rsid w:val="5D7C639C"/>
    <w:rsid w:val="5D7F4A0D"/>
    <w:rsid w:val="5D864522"/>
    <w:rsid w:val="5DF5A927"/>
    <w:rsid w:val="5FD542C8"/>
    <w:rsid w:val="5FF2AD32"/>
    <w:rsid w:val="5FFF151C"/>
    <w:rsid w:val="602B725D"/>
    <w:rsid w:val="60526B9B"/>
    <w:rsid w:val="60B17597"/>
    <w:rsid w:val="62025325"/>
    <w:rsid w:val="620A1069"/>
    <w:rsid w:val="637C4134"/>
    <w:rsid w:val="63DDF873"/>
    <w:rsid w:val="64462D15"/>
    <w:rsid w:val="64A10948"/>
    <w:rsid w:val="64BB42B7"/>
    <w:rsid w:val="653927DB"/>
    <w:rsid w:val="65E260D8"/>
    <w:rsid w:val="67121C13"/>
    <w:rsid w:val="67F7563A"/>
    <w:rsid w:val="68F62341"/>
    <w:rsid w:val="690E44F1"/>
    <w:rsid w:val="697547F5"/>
    <w:rsid w:val="6A241198"/>
    <w:rsid w:val="6BFFE406"/>
    <w:rsid w:val="6C0B2587"/>
    <w:rsid w:val="6C3D0A48"/>
    <w:rsid w:val="6F3E6FAB"/>
    <w:rsid w:val="6FAE4B8D"/>
    <w:rsid w:val="718671B1"/>
    <w:rsid w:val="7199785E"/>
    <w:rsid w:val="7278639C"/>
    <w:rsid w:val="739DAB14"/>
    <w:rsid w:val="74FD680C"/>
    <w:rsid w:val="74FE7A1E"/>
    <w:rsid w:val="75DF3C93"/>
    <w:rsid w:val="765D4DAF"/>
    <w:rsid w:val="76F4164E"/>
    <w:rsid w:val="76F5E3F3"/>
    <w:rsid w:val="78002F1B"/>
    <w:rsid w:val="784F7EC5"/>
    <w:rsid w:val="79444C99"/>
    <w:rsid w:val="795A4F78"/>
    <w:rsid w:val="79F7BDAF"/>
    <w:rsid w:val="7AF45D69"/>
    <w:rsid w:val="7B96C358"/>
    <w:rsid w:val="7BF3C40C"/>
    <w:rsid w:val="7C706E0A"/>
    <w:rsid w:val="7CB456AE"/>
    <w:rsid w:val="7CBA3741"/>
    <w:rsid w:val="7CFE1DB9"/>
    <w:rsid w:val="7DEC6C06"/>
    <w:rsid w:val="7F3F935E"/>
    <w:rsid w:val="7F3FFC07"/>
    <w:rsid w:val="7F6B90F6"/>
    <w:rsid w:val="7F775364"/>
    <w:rsid w:val="7FB5573A"/>
    <w:rsid w:val="7FB908DD"/>
    <w:rsid w:val="7FBF95E9"/>
    <w:rsid w:val="7FD0530B"/>
    <w:rsid w:val="7FDD1DA9"/>
    <w:rsid w:val="7FFD7666"/>
    <w:rsid w:val="876F6B4C"/>
    <w:rsid w:val="8AFF2288"/>
    <w:rsid w:val="9077EEA9"/>
    <w:rsid w:val="9F4B2C4B"/>
    <w:rsid w:val="ABBF85BD"/>
    <w:rsid w:val="ABF20224"/>
    <w:rsid w:val="ADF815EC"/>
    <w:rsid w:val="AFFBAFC2"/>
    <w:rsid w:val="B0D8078C"/>
    <w:rsid w:val="B1FC2B7E"/>
    <w:rsid w:val="B6E3706C"/>
    <w:rsid w:val="B777B1DA"/>
    <w:rsid w:val="BBF3C854"/>
    <w:rsid w:val="BBFF5752"/>
    <w:rsid w:val="BDBF7B81"/>
    <w:rsid w:val="BDE56B30"/>
    <w:rsid w:val="BFF723C8"/>
    <w:rsid w:val="BFFEA24F"/>
    <w:rsid w:val="C6F732BA"/>
    <w:rsid w:val="C7B71C93"/>
    <w:rsid w:val="CDBE4D40"/>
    <w:rsid w:val="CDBF89A6"/>
    <w:rsid w:val="D979CD4C"/>
    <w:rsid w:val="DCF81134"/>
    <w:rsid w:val="DFB34895"/>
    <w:rsid w:val="DFE12D10"/>
    <w:rsid w:val="DFF45C5A"/>
    <w:rsid w:val="E72E5C53"/>
    <w:rsid w:val="EDA7C42C"/>
    <w:rsid w:val="EEF9A4C1"/>
    <w:rsid w:val="EEFB608A"/>
    <w:rsid w:val="EEFCAAB2"/>
    <w:rsid w:val="EF1EF0B8"/>
    <w:rsid w:val="F4F7B327"/>
    <w:rsid w:val="F4F7EEB6"/>
    <w:rsid w:val="F57FD026"/>
    <w:rsid w:val="F7F76C64"/>
    <w:rsid w:val="F8DFCDE9"/>
    <w:rsid w:val="FC3EF8CD"/>
    <w:rsid w:val="FC76AE14"/>
    <w:rsid w:val="FC7B9FDA"/>
    <w:rsid w:val="FDEE5CFB"/>
    <w:rsid w:val="FE27AD56"/>
    <w:rsid w:val="FEFFB7F2"/>
    <w:rsid w:val="FF2FA4C8"/>
    <w:rsid w:val="FF6DB9F8"/>
    <w:rsid w:val="FF6FCC64"/>
    <w:rsid w:val="FFBF7D74"/>
    <w:rsid w:val="FFCB0831"/>
    <w:rsid w:val="FFDFD185"/>
    <w:rsid w:val="FFEAFC40"/>
    <w:rsid w:val="FFED3F34"/>
    <w:rsid w:val="FFEF8D09"/>
    <w:rsid w:val="FFEFD222"/>
    <w:rsid w:val="FFF6AF0C"/>
    <w:rsid w:val="FFFB31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1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after="120"/>
    </w:p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styleId="7">
    <w:name w:val="page number"/>
    <w:basedOn w:val="6"/>
    <w:qFormat/>
    <w:uiPriority w:val="0"/>
  </w:style>
  <w:style w:type="paragraph" w:customStyle="1" w:styleId="8">
    <w:name w:val="BodyText1I"/>
    <w:basedOn w:val="9"/>
    <w:qFormat/>
    <w:uiPriority w:val="0"/>
    <w:pPr>
      <w:spacing w:after="120"/>
      <w:ind w:firstLine="420" w:firstLineChars="100"/>
      <w:jc w:val="both"/>
      <w:textAlignment w:val="baseline"/>
    </w:pPr>
  </w:style>
  <w:style w:type="paragraph" w:customStyle="1" w:styleId="9">
    <w:name w:val="BodyText"/>
    <w:basedOn w:val="1"/>
    <w:qFormat/>
    <w:uiPriority w:val="0"/>
    <w:pPr>
      <w:spacing w:after="120"/>
      <w:jc w:val="both"/>
      <w:textAlignment w:val="baseline"/>
    </w:pPr>
  </w:style>
  <w:style w:type="character" w:customStyle="1" w:styleId="10">
    <w:name w:val="NormalCharacter"/>
    <w:semiHidden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Office_11.8.2.9864_F1E327BC-269C-435d-A152-05C5408002CA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2022-02-18T23:04:00Z</dcterms:created>
  <dc:creator>工人</dc:creator>
  <cp:lastModifiedBy>scqqw</cp:lastModifiedBy>
  <cp:lastPrinted>2022-02-20T16:17:00Z</cp:lastPrinted>
  <dcterms:modified xsi:type="dcterms:W3CDTF">2023-06-30T10:37:29Z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2052-11.8.2.9864</vt:lpwstr>
  </property>
  <property fmtid="{D5CDD505-2E9C-101B-9397-08002B2CF9AE}" pid="3" name="ICV">
    <vt:lpwstr>F425656536894EB6AFC229DAE2E19961</vt:lpwstr>
  </property>
</Properties>
</file>