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宋体" w:hAnsi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</w:pPr>
      <w:r>
        <w:rPr>
          <w:rFonts w:hint="eastAsia" w:ascii="宋体" w:hAnsi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  <w:t>关于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20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  <w:t>2</w:t>
      </w:r>
      <w:r>
        <w:rPr>
          <w:rFonts w:hint="eastAsia" w:ascii="宋体" w:hAnsi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年</w:t>
      </w:r>
      <w:r>
        <w:rPr>
          <w:rFonts w:hint="eastAsia" w:ascii="宋体" w:hAnsi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eastAsia="zh-CN"/>
        </w:rPr>
        <w:t>区本级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财政</w:t>
      </w:r>
      <w:r>
        <w:rPr>
          <w:rFonts w:hint="eastAsia" w:ascii="宋体" w:hAnsi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eastAsia="zh-CN"/>
        </w:rPr>
        <w:t>决算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</w:pP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（草案）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/>
        <w:jc w:val="center"/>
      </w:pPr>
      <w:r>
        <w:rPr>
          <w:rFonts w:hint="default" w:ascii="Times New Roman" w:hAnsi="Times New Roman" w:eastAsia="����" w:cs="Times New Roman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——202</w:t>
      </w:r>
      <w:r>
        <w:rPr>
          <w:rFonts w:hint="eastAsia" w:ascii="Times New Roman" w:hAnsi="Times New Roman" w:eastAsia="����" w:cs="Times New Roman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3</w:t>
      </w:r>
      <w:r>
        <w:rPr>
          <w:rFonts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年</w:t>
      </w:r>
      <w:r>
        <w:rPr>
          <w:rFonts w:hint="eastAsia" w:ascii="Times New Roman" w:hAnsi="Times New Roman" w:eastAsia="����" w:cs="Times New Roman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11</w:t>
      </w:r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月</w:t>
      </w:r>
      <w:r>
        <w:rPr>
          <w:rFonts w:hint="eastAsia" w:ascii="Times New Roman" w:hAnsi="Times New Roman" w:eastAsia="����" w:cs="Times New Roman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14</w:t>
      </w:r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日在朔州市</w:t>
      </w:r>
      <w:r>
        <w:rPr>
          <w:rFonts w:hint="eastAsia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朔城区</w:t>
      </w:r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第</w:t>
      </w:r>
      <w:r>
        <w:rPr>
          <w:rFonts w:hint="eastAsia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九</w:t>
      </w:r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/>
        <w:jc w:val="center"/>
      </w:pPr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人民代表大会常务委员会第</w:t>
      </w:r>
      <w:r>
        <w:rPr>
          <w:rFonts w:hint="eastAsia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25</w:t>
      </w:r>
      <w:bookmarkStart w:id="0" w:name="_GoBack"/>
      <w:bookmarkEnd w:id="0"/>
      <w:r>
        <w:rPr>
          <w:rFonts w:hint="default" w:ascii="楷体_GB2312" w:hAnsi="Times New Roman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次会议上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/>
        <w:jc w:val="center"/>
      </w:pPr>
      <w:r>
        <w:rPr>
          <w:rFonts w:hint="default" w:ascii="Times New Roman" w:hAnsi="Times New Roman" w:eastAsia="����" w:cs="Times New Roman"/>
          <w:b w:val="0"/>
          <w:bCs w:val="0"/>
          <w:i w:val="0"/>
          <w:iCs w:val="0"/>
          <w:caps w:val="0"/>
          <w:color w:val="FF0000"/>
          <w:spacing w:val="0"/>
          <w:kern w:val="0"/>
          <w:sz w:val="32"/>
          <w:szCs w:val="32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/>
        <w:jc w:val="center"/>
        <w:rPr>
          <w:rFonts w:hint="default"/>
          <w:lang w:val="en-US"/>
        </w:rPr>
      </w:pPr>
      <w:r>
        <w:rPr>
          <w:rFonts w:hint="eastAsia" w:ascii="楷体_GB2312" w:hAnsi="Times New Roman" w:eastAsia="楷体_GB2312" w:cs="楷体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朔城区</w:t>
      </w:r>
      <w:r>
        <w:rPr>
          <w:rFonts w:hint="default" w:ascii="楷体_GB2312" w:hAnsi="Times New Roman" w:eastAsia="楷体_GB2312" w:cs="楷体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财政局局长</w:t>
      </w:r>
      <w:r>
        <w:rPr>
          <w:rFonts w:hint="default" w:ascii="Times New Roman" w:hAnsi="Times New Roman" w:eastAsia="����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  </w:t>
      </w:r>
      <w:r>
        <w:rPr>
          <w:rFonts w:hint="eastAsia" w:ascii="楷体_GB2312" w:hAnsi="Times New Roman" w:eastAsia="楷体_GB2312" w:cs="楷体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周庆山</w:t>
      </w:r>
    </w:p>
    <w:p>
      <w:pPr>
        <w:pStyle w:val="4"/>
        <w:rPr>
          <w:rFonts w:hint="eastAsia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/>
        <w:jc w:val="left"/>
      </w:pPr>
      <w:r>
        <w:rPr>
          <w:rFonts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主任、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各位副主任、各位委员：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 w:firstLine="640"/>
        <w:jc w:val="left"/>
      </w:pP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受</w:t>
      </w:r>
      <w:r>
        <w:rPr>
          <w:rFonts w:hint="eastAsia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区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人民政府委托，我向</w:t>
      </w:r>
      <w:r>
        <w:rPr>
          <w:rFonts w:hint="eastAsia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区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人大常委会作</w:t>
      </w:r>
      <w:r>
        <w:rPr>
          <w:rFonts w:hint="default" w:ascii="Times New Roman" w:hAnsi="Times New Roman" w:eastAsia="����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202</w:t>
      </w:r>
      <w:r>
        <w:rPr>
          <w:rFonts w:hint="eastAsia" w:ascii="Times New Roman" w:hAnsi="Times New Roman" w:eastAsia="����" w:cs="Times New Roman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年</w:t>
      </w:r>
      <w:r>
        <w:rPr>
          <w:rFonts w:hint="eastAsia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区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本级财政决算的报告，请予审议。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年，面对错综复杂的经济环境和新冠疫情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冲击</w:t>
      </w:r>
      <w:r>
        <w:rPr>
          <w:rFonts w:hint="eastAsia" w:ascii="仿宋_GB2312" w:hAnsi="仿宋_GB2312" w:eastAsia="仿宋_GB2312" w:cs="仿宋_GB2312"/>
          <w:sz w:val="32"/>
          <w:szCs w:val="32"/>
        </w:rPr>
        <w:t>等诸多困难挑战，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财政工作在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区委、区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政府的坚强领导下，始终坚持以习近平新时代中国特色社会主义思想为指导，深入学习贯彻习近平总书记视察山西重要讲话重要指示精神，全面落实中央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、省委、市委和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区委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经济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工作会议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精神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，坚持稳中求进总基调，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聚焦全区中心任务、重点工作和重大项目，强化使命担当，狠抓主责主业，强力推进收入组织、支出保障、风险防范、财政改革和监督管理，为全区社会稳定和经济发展大局提供有力支撑和保障。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一、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一般公共预算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决算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收入情况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2022年，财政总收入为187619万元。分级次看，上划中央收入55232万元，上划省级收入15425万元，上划市级收入10611万元，区级收入为106351万元。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green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2022年区本级一般公共预算收入完成106351万元，为年初预算的105.40%，同比增长13.83%。其中：税收收入完成75433万元，为年初预算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72884万元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的103.50%，同比增长9.51%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，增收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2549万元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；非税收入完成30918万元，为年初预算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28016万元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的110.36%，同比增长25.97%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，增收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2902万元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1）税收收入完成75433万元。其中：增值税完成26709万元，为年初预算的100.79%，同比增长10.37%；企业所得税完成7568万元，为年初预算的199.16%，同比增长120.45%；个人所得税完成918万元，为年初预算的76.5%，同比增长0.99%；资源税完成5082万元，为年初预算的87.62%，同比下降3.75%；城市维护建设税完成7034万元，为年初预算的103.44%，同比增长13.11%；房产税完成3116万元，为年初预算的135.48%，同比增长47.54%；印花税完成1964万元，为年初预算的109.11%，同比增长22.98%；城镇土地使用税完成2959万元，为年初预算的82.19%，同比下降8.5%；土地增值税完成7272万元，为年初预算的87.09%，同比下降10.4%；车船税完成2456万元，为年初预算的70.17%，同比下降19.37%；耕地占用税完成856万元，为年初预算的122.29%，同比增长76.13%；契税完成9348万元，为年初预算的115.89%，同比下降6.47%；环境保护税完成151万元，为年初预算的32.26%，同比下降41.02%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（2）非税收入完成30918万元。其中：专项收入完成18996万元，为年初预算的100.69%，同比增长79.82%；行政事业性收费收入完成3241万元，为年初预算的324.10%，同比增长59.18%；罚没收入完成2197万元，为年初预算的73.23%，同比下降65.03%；国有资源（资产）有偿使用收入完成6378万元，为年初预算的159.45%，同比增长95.05%；公共租赁住房租金收入完成100万元；其他收入完成6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区一般公共预算支出374773万元，为调整预算的85.69%，同比增长26.30%。其中：一般公共服务支出36211万元，为调整预算的99.49%，同比增长13.29%；国防支出242万元，为调整预算的100%，同比下降90.10%；公共安全支出2140万元，为调整预算的98.98%，同比下降17.91%；教育支出58683万元，为调整预算的77.33%，同比下降5.61%；科学技术支出709万元，为调整预算的100%，同比下降37.03%；文化体育与传媒支出2825万元，为调整预算的100%，同比增长6.85%；社会保障和就业支出55814万元，为调整预算的99.01%，同比增长16.84%；卫生健康支出55072万元，为调整预算的93.39%，同比增长139.62%；节能环保支出19625万元，为调整预算的77.25%，同比增长11.37%；城乡社区事务支出21963万元，为调整预算的63.80%，同比下降9.75%；农林水支出64500万元，为调整预算的85.02%，同比增长59.86%；交通运输支出20542万元，为调整预算的87.84%，同比增长221.32%；资源勘探信息等支出13077万元，为调整预算的100%，同比增长109.90%；商业服务业等支出491万元，为调整预算的40.41%，同比增长22.75%；自然资源海洋气象等支出13679万元，为调整预算的96.53%，同比增长52.55%；住房保障支出2979万元，为调整预算的36.35%，同比下降75.15%；粮油物资储备支出887万元，为调整预算的34.01%，同比增长151.27%；灾害防治及应急管理支出3399万元，为调整预算的100%，同比下降3.49%；其他支出97万元，为调整预算的42.73%，同比下降65.48%；债务付息支出1828万元，为调整预算的100%，同比增长16.95%；债务发行费用支出10万元，为调整预算的100%，同比增长11.11%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平衡情况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2022年全年收入总计481663万元。其中：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区本级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一般公共预算收入106351万元；上级转移支付收入287316万元（返还性收入14504万元、一般性转移支付收入196374万元、专项转移支付收入76438万元）；上年结余39356万元；债务转贷收入14497万元；动用预算稳定调节基金29237万元；调入政府性基金4906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2022年全年支出总计419063万元。其中：一般公共预算支出374773万元，上解支出12383万元，安排预算稳定调节基金31907万元。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收支相抵结余62600万元。其中：一般性转移支付结余16544万元、专项转移支付结余30207万元、一般债券结余8985万元、区级资金结余6864万元，结转下年。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二、政府性基金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决算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收入情况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2022年区本级政府性基金预算收入完成43939万元，为年初预算的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110.36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%，同比增长10.62%。其中：国有土地使用权出让收入完成42586万元，为年初预算35000万元的121.67%，同比增长10.58%；城市基础设施配套费收入完成1353万元，为年初预算4000万元的33.83%，</w:t>
      </w:r>
      <w:r>
        <w:rPr>
          <w:rFonts w:hint="eastAsia" w:ascii="仿宋" w:hAnsi="仿宋" w:eastAsia="仿宋" w:cs="仿宋"/>
          <w:b w:val="0"/>
          <w:bCs w:val="0"/>
          <w:i w:val="0"/>
          <w:caps w:val="0"/>
          <w:spacing w:val="0"/>
          <w:w w:val="100"/>
          <w:kern w:val="0"/>
          <w:sz w:val="32"/>
          <w:szCs w:val="32"/>
          <w:highlight w:val="none"/>
          <w:lang w:val="en-US" w:eastAsia="zh-CN"/>
        </w:rPr>
        <w:t>短收2647</w:t>
      </w:r>
      <w:r>
        <w:rPr>
          <w:rFonts w:hint="eastAsia" w:ascii="仿宋" w:hAnsi="仿宋" w:eastAsia="仿宋" w:cs="仿宋"/>
          <w:b w:val="0"/>
          <w:bCs w:val="0"/>
          <w:i w:val="0"/>
          <w:caps w:val="0"/>
          <w:spacing w:val="0"/>
          <w:w w:val="100"/>
          <w:kern w:val="0"/>
          <w:sz w:val="32"/>
          <w:szCs w:val="32"/>
          <w:highlight w:val="none"/>
          <w:lang w:eastAsia="zh-CN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同比增长12%。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2022年全区政府性基金预算支出81457万元，为调整预算的93.21%，同比增长42.42%。其中：文化旅游体育与传媒支出36万元，为调整预算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100%；社会保障和就业支出78万元，为调整预算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45.09%，同比下降38.58%；城乡社区支出32226万元，为调整预算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85.5%，同比下降32.89%；农林水支出106万元，为调整预算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100%，同比增长324%；其他支出46359万元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highlight w:val="none"/>
          <w:lang w:val="en-US" w:eastAsia="zh-CN"/>
        </w:rPr>
        <w:t>（含专项债券43000万元）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99.2%，同比增长632.14%；债务付息支出2606万元，为调整预算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100%，同比增长54.84%；债务发行费用支出46万元，为调整预算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100%，同比增长283.33%。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平衡情况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区政府性基金收入完成102297万元。其中：全区政府性基金预算收入43939万元；上级转移性支付收入925万元；债务转贷收入53000万元；上年结余4433万元。2022年全区政府性基金支出96363万元。其中：政府性基金支出81457万元；调入一般公共预算资金4906万元；债务还本支出10000万元。年底收支相抵结余5934万元，结转下年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三、社会保险基金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决算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收入情况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2022年社会保险基金收入总计7808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万元。其中：上年结余3500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万元。分别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：城乡居民基本养老保险33346万元、机关事业单位基本养老保险166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万元。本年收入43076万元。分别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：城乡居民基本养老保险1027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万元、机关事业单位基本养老保险32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800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2022年全区社会保险支出3768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万元。分别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：城乡居民基本养老保险945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万元、机关事业单位基本养老保险28233万元。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</w:rPr>
        <w:t>结余情况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2022年全区社会保险收支相抵滚存结余40395万元。分别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：城乡居民基本养老保险3416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万元、机关事业单位基本养老保险622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四、国有资本经营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val="en-US" w:eastAsia="zh-CN"/>
        </w:rPr>
        <w:t>决算</w:t>
      </w:r>
      <w:r>
        <w:rPr>
          <w:rFonts w:hint="eastAsia" w:ascii="楷体_GB2312" w:hAnsi="楷体_GB2312" w:eastAsia="楷体_GB2312" w:cs="楷体_GB2312"/>
          <w:sz w:val="32"/>
          <w:szCs w:val="32"/>
          <w:highlight w:val="none"/>
          <w:lang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国有资本经营预算收入627万元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为2020—2021年国有企业退休人员社会化管理补助资金。国有资本经营预算支出199万元。年终结余428万元。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五、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财政工作的特点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一是强化收入征收。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动态控管重点项目立项、开工、资金使用等涉税信息，及时清理欠税，确保税收足额入库，应收尽收。积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极争取上级资金和政府债券，支撑我区重点工程和重大项目建设。202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年累计争取中央省市转移支付288868万元，获得新增政府债券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67497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万元，其中：一般债券资金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14497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万元，专项债券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53000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万元。对上级转移支付资金结转一年以上、本级当年预算安排的结余资金全部收回。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lang w:eastAsia="zh-CN"/>
        </w:rPr>
        <w:t>二是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eastAsia="zh-CN"/>
        </w:rPr>
        <w:t>强化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eastAsia="zh-CN"/>
        </w:rPr>
        <w:t>攻坚保障。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安排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巩固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拓展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脱贫攻坚战成果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专项资金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399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万元，支持开展玉米保险、能繁母猪育肥猪保险、奶牛保险，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推动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巩固拓展脱贫攻坚成果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与乡村振兴有效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衔接。不断健全完善债务风险防范制度体系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化解各类隐性债务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946.08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助力打赢防范化解政府债务风险攻坚战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争取中央冬季清洁取暖补助资金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5556.18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万元，助力打好污染防治攻坚战。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是强化民生保障。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全区社保、教育、医疗卫生等民生支出执行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317769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万元，占一般公共预算支出的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84.79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%，有力地增强了人民群众的获得感、幸福感、安全感。安排资金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31981.97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万元，用于提高居民基本养老保险、医疗保险、农村低保等民生保障标准，达到省定水平。安排资金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2191.2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万元推动人才强区战略的实施。全区教育一般公共预算投入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58683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万元。下达资金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>627.6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万元落实区直中小学班主任津贴。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pBdr>
          <w:bottom w:val="single" w:color="FFFFFF" w:sz="8" w:space="31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line="660" w:lineRule="exact"/>
        <w:ind w:firstLine="643" w:firstLineChars="200"/>
        <w:jc w:val="left"/>
        <w:textAlignment w:val="auto"/>
        <w:rPr>
          <w:rFonts w:hint="eastAsia" w:ascii="仿宋" w:hAnsi="仿宋" w:eastAsia="仿宋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四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是强化采购管理。</w:t>
      </w:r>
      <w:r>
        <w:rPr>
          <w:rFonts w:hint="eastAsia" w:ascii="仿宋" w:hAnsi="仿宋" w:eastAsia="仿宋"/>
          <w:color w:val="auto"/>
          <w:sz w:val="32"/>
          <w:szCs w:val="32"/>
        </w:rPr>
        <w:t>实现了财政资金从“采购预算-采购意向公开-采购计划申请-采购计划委托-采购公告发布-采购结果公告-采购合同公示-采购资金支付”全流程闭环运行，所有政府采购业务一网通办。2022年全区编制政府采购预算16560.93万元，上级和本级补助采购预算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8169.15</w:t>
      </w:r>
      <w:r>
        <w:rPr>
          <w:rFonts w:hint="eastAsia" w:ascii="仿宋" w:hAnsi="仿宋" w:eastAsia="仿宋"/>
          <w:color w:val="auto"/>
          <w:sz w:val="32"/>
          <w:szCs w:val="32"/>
        </w:rPr>
        <w:t>万元。涉及货物、工程、服务三大类，30多项品目。组织大中型采购活动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66</w:t>
      </w:r>
      <w:r>
        <w:rPr>
          <w:rFonts w:hint="eastAsia" w:ascii="仿宋" w:hAnsi="仿宋" w:eastAsia="仿宋"/>
          <w:color w:val="auto"/>
          <w:sz w:val="32"/>
          <w:szCs w:val="32"/>
        </w:rPr>
        <w:t>次，累计完成采购金额</w:t>
      </w:r>
      <w:r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  <w:t>22798.6</w:t>
      </w:r>
      <w:r>
        <w:rPr>
          <w:rFonts w:hint="eastAsia" w:ascii="仿宋" w:hAnsi="仿宋" w:eastAsia="仿宋"/>
          <w:color w:val="auto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pBdr>
          <w:bottom w:val="single" w:color="FFFFFF" w:sz="8" w:space="31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line="660" w:lineRule="exact"/>
        <w:ind w:firstLine="643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五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是强化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财政改革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  <w:lang w:val="en-US" w:eastAsia="zh-CN"/>
        </w:rPr>
        <w:t>全面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推进《山西省财政核心业务一体化系统》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shd w:val="clear" w:color="auto" w:fill="FFFFFF"/>
        </w:rPr>
        <w:t>全面运行</w:t>
      </w:r>
      <w:r>
        <w:rPr>
          <w:rFonts w:hint="eastAsia" w:ascii="仿宋" w:hAnsi="仿宋" w:eastAsia="仿宋" w:cs="仿宋"/>
          <w:color w:val="auto"/>
          <w:sz w:val="32"/>
          <w:szCs w:val="32"/>
          <w:shd w:val="clear" w:color="auto" w:fill="FFFFFF"/>
        </w:rPr>
        <w:t>。</w:t>
      </w:r>
      <w:r>
        <w:rPr>
          <w:rFonts w:hint="eastAsia" w:ascii="仿宋" w:hAnsi="仿宋" w:eastAsia="仿宋" w:cs="仿宋"/>
          <w:color w:val="auto"/>
          <w:sz w:val="32"/>
          <w:szCs w:val="32"/>
        </w:rPr>
        <w:t>严格执行《预算法》，大力压缩一般性支出，严控“三公”经费支出。实现预算绩效管理全覆盖。继续完善惠民惠农财政补贴资金全部“一卡通”发放。</w:t>
      </w:r>
      <w:r>
        <w:rPr>
          <w:rFonts w:hint="eastAsia" w:ascii="仿宋" w:hAnsi="仿宋" w:eastAsia="仿宋" w:cs="仿宋"/>
          <w:bCs/>
          <w:color w:val="auto"/>
          <w:sz w:val="32"/>
          <w:szCs w:val="32"/>
          <w:shd w:val="clear" w:color="auto" w:fill="FFFFFF"/>
          <w:lang w:val="en-US" w:eastAsia="zh-CN"/>
        </w:rPr>
        <w:t>完成全区行政事业单位资产清查，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2022年共完成237家行政事业单位资产清查，其中：行政单位59家，事业单位178家，共涉及调整资产金额221365.2万元，涉及核减资产金额7265.4万元，评估房屋资产入账5442.31万元。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bottom w:val="single" w:color="FFFFFF" w:sz="8" w:space="31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atLeas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主任、</w:t>
      </w:r>
      <w:r>
        <w:rPr>
          <w:rFonts w:hint="default" w:ascii="仿宋_GB2312" w:hAnsi="Times New Roman" w:eastAsia="仿宋_GB2312" w:cs="仿宋_GB2312"/>
          <w:b w:val="0"/>
          <w:bCs w:val="0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各位副主任、各位委员：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做好202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年财政工作，任务艰巨、责任重大。我们将认真贯彻区委、区政府的决策部署，自觉接受人大的监督，虚心听取政协的意见和建议，牢固树立过紧日子的思想，扎实做好财政预算各项工作，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努力为“奋力建设高质量发展、高品质生活、高效能治理的社会主义现代化新朔城，续写践行新时代中国特色社会主义朔城新篇章”作出应有的贡献。</w:t>
      </w:r>
    </w:p>
    <w:p>
      <w:pPr>
        <w:pStyle w:val="4"/>
        <w:rPr>
          <w:rFonts w:hint="eastAsia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pBdr>
          <w:bottom w:val="single" w:color="FFFFFF" w:sz="8" w:space="31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line="6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 w:line="600" w:lineRule="atLeast"/>
        <w:ind w:left="0" w:right="0" w:firstLine="420" w:firstLineChars="200"/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wMDBkZGE0NmEzZGRjNzNmZTZlZWM1OWU0NWQ3Y2IifQ=="/>
  </w:docVars>
  <w:rsids>
    <w:rsidRoot w:val="03770FB7"/>
    <w:rsid w:val="00064E43"/>
    <w:rsid w:val="03770FB7"/>
    <w:rsid w:val="11E9772D"/>
    <w:rsid w:val="1B4B2632"/>
    <w:rsid w:val="1D032D4A"/>
    <w:rsid w:val="2A661057"/>
    <w:rsid w:val="2E901F55"/>
    <w:rsid w:val="3A6067A8"/>
    <w:rsid w:val="3C0B0816"/>
    <w:rsid w:val="44EF06AA"/>
    <w:rsid w:val="49CA2019"/>
    <w:rsid w:val="4C5F16AE"/>
    <w:rsid w:val="523A178F"/>
    <w:rsid w:val="539C3393"/>
    <w:rsid w:val="577D7E15"/>
    <w:rsid w:val="5AA80688"/>
    <w:rsid w:val="600A5856"/>
    <w:rsid w:val="613805AD"/>
    <w:rsid w:val="664852DE"/>
    <w:rsid w:val="69C538C1"/>
    <w:rsid w:val="6F4E612A"/>
    <w:rsid w:val="70D15739"/>
    <w:rsid w:val="73ED1C6E"/>
    <w:rsid w:val="74653DE5"/>
    <w:rsid w:val="7BC64783"/>
    <w:rsid w:val="7CEB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3"/>
    <w:qFormat/>
    <w:uiPriority w:val="0"/>
    <w:pPr>
      <w:spacing w:after="120"/>
      <w:ind w:firstLine="420" w:firstLineChars="100"/>
      <w:jc w:val="both"/>
      <w:textAlignment w:val="baseline"/>
    </w:pPr>
  </w:style>
  <w:style w:type="paragraph" w:customStyle="1" w:styleId="3">
    <w:name w:val="BodyText"/>
    <w:basedOn w:val="1"/>
    <w:qFormat/>
    <w:uiPriority w:val="0"/>
    <w:pPr>
      <w:spacing w:after="120"/>
      <w:jc w:val="both"/>
      <w:textAlignment w:val="baseline"/>
    </w:p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3168</Words>
  <Characters>4054</Characters>
  <Lines>0</Lines>
  <Paragraphs>0</Paragraphs>
  <TotalTime>136</TotalTime>
  <ScaleCrop>false</ScaleCrop>
  <LinksUpToDate>false</LinksUpToDate>
  <CharactersWithSpaces>4063</CharactersWithSpaces>
  <Application>WPS Office_11.8.2.8576_F1E327BC-269C-435d-A152-05C5408002CA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2022-06-22T03:28:00Z</dcterms:created>
  <dc:creator>1</dc:creator>
  <cp:lastModifiedBy>1</cp:lastModifiedBy>
  <dcterms:modified xsi:type="dcterms:W3CDTF">2023-11-09T10:25:44Z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2052-11.8.2.8576</vt:lpwstr>
  </property>
  <property fmtid="{D5CDD505-2E9C-101B-9397-08002B2CF9AE}" pid="3" name="ICV">
    <vt:lpwstr>CBB623AAD23243148FBC1287A1BC49A5</vt:lpwstr>
  </property>
</Properties>
</file>