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Spec="center" w:tblpY="1033"/>
        <w:tblOverlap w:val="never"/>
        <w:tblW w:w="13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60"/>
        <w:gridCol w:w="3111"/>
        <w:gridCol w:w="9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3165" w:type="dxa"/>
            <w:gridSpan w:val="3"/>
            <w:tcBorders>
              <w:tl2br w:val="nil"/>
              <w:tr2bl w:val="nil"/>
            </w:tcBorders>
            <w:shd w:val="clear" w:color="auto" w:fill="auto"/>
            <w:noWrap/>
            <w:vAlign w:val="center"/>
          </w:tcPr>
          <w:p>
            <w:pPr>
              <w:jc w:val="center"/>
              <w:rPr>
                <w:rFonts w:hint="eastAsia" w:ascii="宋体" w:hAnsi="宋体" w:eastAsia="宋体" w:cs="宋体"/>
                <w:b/>
                <w:bCs/>
                <w:i w:val="0"/>
                <w:iCs w:val="0"/>
                <w:color w:val="000000"/>
                <w:sz w:val="40"/>
                <w:szCs w:val="40"/>
                <w:u w:val="none"/>
              </w:rPr>
            </w:pPr>
            <w:bookmarkStart w:id="0" w:name="_GoBack"/>
            <w:bookmarkEnd w:id="0"/>
            <w:r>
              <w:rPr>
                <w:sz w:val="40"/>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-591185</wp:posOffset>
                      </wp:positionV>
                      <wp:extent cx="990600" cy="466725"/>
                      <wp:effectExtent l="0" t="0" r="0" b="0"/>
                      <wp:wrapNone/>
                      <wp:docPr id="44" name="文本框 44"/>
                      <wp:cNvGraphicFramePr/>
                      <a:graphic xmlns:a="http://schemas.openxmlformats.org/drawingml/2006/main">
                        <a:graphicData uri="http://schemas.microsoft.com/office/word/2010/wordprocessingShape">
                          <wps:wsp>
                            <wps:cNvSpPr txBox="1"/>
                            <wps:spPr>
                              <a:xfrm>
                                <a:off x="1274445" y="1088390"/>
                                <a:ext cx="990600" cy="466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pt;margin-top:-46.55pt;height:36.75pt;width:78pt;z-index:251659264;mso-width-relative:page;mso-height-relative:page;" filled="f" stroked="f" coordsize="21600,21600" o:gfxdata="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OzzTbAAAACgEAAA8AAAAAAAAA&#10;AQAgAAAAIgAAAGRycy9kb3ducmV2LnhtbFBLAQIUABQAAAAIAIdO4kA7RF1CRwIAAHMEAAAOAAAA&#10;AAAAAAEAIAAAACoBAABkcnMvZTJvRG9jLnhtbFBLBQYAAAAABgAGAFkBAADjBQAAAAA=&#10;">
                      <v:fill on="f" focussize="0,0"/>
                      <v:stroke on="f" weight="0.5pt"/>
                      <v:imagedata o:title=""/>
                      <o:lock v:ext="edit" aspectratio="f"/>
                      <v:textbox>
                        <w:txbxContent>
                          <w:p>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txbxContent>
                      </v:textbox>
                    </v:shape>
                  </w:pict>
                </mc:Fallback>
              </mc:AlternateContent>
            </w:r>
            <w:r>
              <w:rPr>
                <w:rFonts w:hint="eastAsia" w:ascii="宋体" w:hAnsi="宋体" w:eastAsia="宋体" w:cs="宋体"/>
                <w:b/>
                <w:bCs/>
                <w:i w:val="0"/>
                <w:iCs w:val="0"/>
                <w:color w:val="000000"/>
                <w:kern w:val="0"/>
                <w:sz w:val="40"/>
                <w:szCs w:val="40"/>
                <w:u w:val="none"/>
                <w:lang w:val="en-US" w:eastAsia="zh-CN" w:bidi="ar"/>
              </w:rPr>
              <w:t>区级煤矿生产安全事故应急指挥机构及职责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4071" w:type="dxa"/>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指挥机构</w:t>
            </w:r>
          </w:p>
        </w:tc>
        <w:tc>
          <w:tcPr>
            <w:tcW w:w="909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    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60" w:hRule="atLeast"/>
          <w:jc w:val="center"/>
        </w:trPr>
        <w:tc>
          <w:tcPr>
            <w:tcW w:w="960" w:type="dxa"/>
            <w:tcBorders>
              <w:tl2br w:val="nil"/>
              <w:tr2bl w:val="nil"/>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指挥长</w:t>
            </w:r>
          </w:p>
        </w:tc>
        <w:tc>
          <w:tcPr>
            <w:tcW w:w="31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区政府</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分管副区长</w:t>
            </w:r>
          </w:p>
        </w:tc>
        <w:tc>
          <w:tcPr>
            <w:tcW w:w="9094"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区指挥部主要职责：贯彻落实党中央、国务院和省委、省政府、市委、市政府区委、区政府关于煤矿安全生产工作的决策部署，统筹协调全市煤矿事故防范和隐患排查治理工作，制定煤矿安全生产总体规划、重要措施，组织指挥一般煤矿生产安全事故应急处置工作，组织特别重大。重大煤矿生产安全事故先期应急处置工作，落实省委、省政府和市委、市政府区委、区及区应急救援总指挥部交办的煤矿生产安全事故应急处置的其他重大事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区指挥部办公室主要职责：承担一般煤矿生产安全事故应急指挥部日常工作，制定、修订煤矿生产安全事故专项应急预案，组织煤矿生产安全事故防范和隐患排查治理工作，开展桌面推演、实兵演练等应对煤矿生产安全事故专项训练，协调各方面力量参加一般煤矿生产安全事故救援行动，协助区委、区政府指定的负责同志组织一般煤矿生产事故应急处置工作，配合做好较大煤矿生产安全事故调查和善后处置工作，报告和发布一般煤矿生产安全事故信息，指导各煤矿生产事故对应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jc w:val="center"/>
        </w:trPr>
        <w:tc>
          <w:tcPr>
            <w:tcW w:w="960" w:type="dxa"/>
            <w:vMerge w:val="restart"/>
            <w:tcBorders>
              <w:tl2br w:val="nil"/>
              <w:tr2bl w:val="nil"/>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副指挥长</w:t>
            </w:r>
          </w:p>
        </w:tc>
        <w:tc>
          <w:tcPr>
            <w:tcW w:w="31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区政府办公室协管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安全生产的副主任</w:t>
            </w:r>
          </w:p>
        </w:tc>
        <w:tc>
          <w:tcPr>
            <w:tcW w:w="90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区应急管理局</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主要负责人</w:t>
            </w:r>
          </w:p>
        </w:tc>
        <w:tc>
          <w:tcPr>
            <w:tcW w:w="90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0"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区能源局主要负责人</w:t>
            </w:r>
          </w:p>
        </w:tc>
        <w:tc>
          <w:tcPr>
            <w:tcW w:w="90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jc w:val="center"/>
        </w:trPr>
        <w:tc>
          <w:tcPr>
            <w:tcW w:w="960" w:type="dxa"/>
            <w:vMerge w:val="restart"/>
            <w:tcBorders>
              <w:tl2br w:val="nil"/>
              <w:tr2bl w:val="nil"/>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成员单位</w:t>
            </w: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区委宣传部</w:t>
            </w:r>
          </w:p>
        </w:tc>
        <w:tc>
          <w:tcPr>
            <w:tcW w:w="909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根据区现场指挥部的统一部署，组织协调新闻媒体开展应急新闻报道，积极引导舆论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960" w:type="dxa"/>
            <w:vMerge w:val="continue"/>
            <w:tcBorders>
              <w:tl2br w:val="nil"/>
              <w:tr2bl w:val="nil"/>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区发改局</w:t>
            </w:r>
          </w:p>
        </w:tc>
        <w:tc>
          <w:tcPr>
            <w:tcW w:w="9094" w:type="dxa"/>
            <w:tcBorders>
              <w:tl2br w:val="nil"/>
              <w:tr2bl w:val="nil"/>
            </w:tcBorders>
            <w:shd w:val="clear" w:color="auto" w:fill="auto"/>
            <w:noWrap/>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负责组织协调落实区级应急成品粮油和应急生活储备动用计划和指令，参与抢险救援等后勤保障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5"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区工信局</w:t>
            </w:r>
          </w:p>
        </w:tc>
        <w:tc>
          <w:tcPr>
            <w:tcW w:w="909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负责组织协调电信运营企业做好煤矿事故抢险救援通信保障应急工作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5" w:hRule="atLeast"/>
          <w:jc w:val="center"/>
        </w:trPr>
        <w:tc>
          <w:tcPr>
            <w:tcW w:w="4071" w:type="dxa"/>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指挥机构</w:t>
            </w:r>
          </w:p>
        </w:tc>
        <w:tc>
          <w:tcPr>
            <w:tcW w:w="909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    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30" w:hRule="atLeast"/>
          <w:jc w:val="center"/>
        </w:trPr>
        <w:tc>
          <w:tcPr>
            <w:tcW w:w="960" w:type="dxa"/>
            <w:vMerge w:val="restart"/>
            <w:tcBorders>
              <w:tl2br w:val="nil"/>
              <w:tr2bl w:val="nil"/>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成员单位</w:t>
            </w: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朔州市公安局朔城分局</w:t>
            </w:r>
          </w:p>
        </w:tc>
        <w:tc>
          <w:tcPr>
            <w:tcW w:w="9094" w:type="dxa"/>
            <w:tcBorders>
              <w:tl2br w:val="nil"/>
              <w:tr2bl w:val="nil"/>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负责事故现场及周边警戒、治安管理和道路交通疏导，必要时实行交通管制；组织人员核查和遇难</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人员核查和遇难人员身份识别的工作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5"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区财政局</w:t>
            </w:r>
          </w:p>
        </w:tc>
        <w:tc>
          <w:tcPr>
            <w:tcW w:w="9094" w:type="dxa"/>
            <w:tcBorders>
              <w:tl2br w:val="nil"/>
              <w:tr2bl w:val="nil"/>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负责煤矿企业事故灾难应急资金的预算、拨付和监督使用的工作，做好市专业矿山救援队伍日常经费保障的工作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区人社局</w:t>
            </w:r>
          </w:p>
        </w:tc>
        <w:tc>
          <w:tcPr>
            <w:tcW w:w="909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负责煤矿事故伤亡人员的工伤保险待遇和再就业工作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0" w:hRule="atLeast"/>
          <w:jc w:val="center"/>
        </w:trPr>
        <w:tc>
          <w:tcPr>
            <w:tcW w:w="960" w:type="dxa"/>
            <w:vMerge w:val="continue"/>
            <w:tcBorders>
              <w:tl2br w:val="nil"/>
              <w:tr2bl w:val="nil"/>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区自然资源局</w:t>
            </w:r>
          </w:p>
        </w:tc>
        <w:tc>
          <w:tcPr>
            <w:tcW w:w="9094" w:type="dxa"/>
            <w:tcBorders>
              <w:tl2br w:val="nil"/>
              <w:tr2bl w:val="nil"/>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参与因超层越界开采、私挖滥采引发煤矿事故的调查评估工作：承担因采煤引发的地质灾害应急</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救援技术支撑工作，提出应急救援措施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区交通局</w:t>
            </w:r>
          </w:p>
        </w:tc>
        <w:tc>
          <w:tcPr>
            <w:tcW w:w="9094" w:type="dxa"/>
            <w:tcBorders>
              <w:tl2br w:val="nil"/>
              <w:tr2bl w:val="nil"/>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负责组织协调调运公路运输应急保障车辆，保障抢险救援人员和物资运输通道畅通；必要时，组织协调应急物资、救援人员以及运转伤员的空运保障工作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区卫生健康和体育局</w:t>
            </w:r>
          </w:p>
        </w:tc>
        <w:tc>
          <w:tcPr>
            <w:tcW w:w="9094" w:type="dxa"/>
            <w:tcBorders>
              <w:tl2br w:val="nil"/>
              <w:tr2bl w:val="nil"/>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负责组织督导卫生健康部门，协调调派专家团队，开展煤矿事故伤病员救治和相关人员医疗卫生保障。协同交通部门及时、安全运转伤员。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9094" w:type="dxa"/>
            <w:tcBorders>
              <w:tl2br w:val="nil"/>
              <w:tr2bl w:val="nil"/>
            </w:tcBorders>
            <w:shd w:val="clear" w:color="auto" w:fill="auto"/>
            <w:vAlign w:val="center"/>
          </w:tcPr>
          <w:p>
            <w:pPr>
              <w:keepNext w:val="0"/>
              <w:keepLines w:val="0"/>
              <w:widowControl/>
              <w:suppressLineNumbers w:val="0"/>
              <w:spacing w:after="240" w:afterAutospacing="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担一般煤矿生产安全事故应急指挥部办公室日常工作；制定、修订煤矿生产安全事故专项应急预案并演练；指导全区煤矿生产安全事故风险管控、检测预警、应急准备和应急救援工作；组织事故信息接收、核查、上报、发布；综合研判煤矿事故发展态势并提出应对建议，协助区委、区政府指定的负责同志组织一般煤矿事故应急处置工作；组织有关部门、单位和应急救援队伍做好救援的各项工作；参与较大以上煤矿事故的调查处理；完成省应急管理厅、山西煤监局和市委、市政府、区委区政府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jc w:val="center"/>
        </w:trPr>
        <w:tc>
          <w:tcPr>
            <w:tcW w:w="4071" w:type="dxa"/>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指挥机构</w:t>
            </w:r>
          </w:p>
        </w:tc>
        <w:tc>
          <w:tcPr>
            <w:tcW w:w="90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    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70" w:hRule="atLeast"/>
          <w:jc w:val="center"/>
        </w:trPr>
        <w:tc>
          <w:tcPr>
            <w:tcW w:w="960" w:type="dxa"/>
            <w:vMerge w:val="restart"/>
            <w:tcBorders>
              <w:tl2br w:val="nil"/>
              <w:tr2bl w:val="nil"/>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成员单位</w:t>
            </w: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区能源局</w:t>
            </w:r>
          </w:p>
        </w:tc>
        <w:tc>
          <w:tcPr>
            <w:tcW w:w="9094" w:type="dxa"/>
            <w:tcBorders>
              <w:tl2br w:val="nil"/>
              <w:tr2bl w:val="nil"/>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负责从行业规划、产业规划、初步设计、竣工验收等方面加强煤炭行业安全生产及应急管理工作；参与煤矿事故应急救援工作；组织协调电力企业做好煤矿事故抢险救援过程中的电力运行保障工作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5"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区气象局</w:t>
            </w:r>
          </w:p>
        </w:tc>
        <w:tc>
          <w:tcPr>
            <w:tcW w:w="9094" w:type="dxa"/>
            <w:tcBorders>
              <w:tl2br w:val="nil"/>
              <w:tr2bl w:val="nil"/>
            </w:tcBorders>
            <w:shd w:val="clear" w:color="auto" w:fill="auto"/>
            <w:noWrap/>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负责煤矿事故救援现场的气象监测，预报等工作，提供短时间临近天气预报服务和气象灾害情报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5"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朔州市公安局交警支队二大队</w:t>
            </w:r>
          </w:p>
        </w:tc>
        <w:tc>
          <w:tcPr>
            <w:tcW w:w="909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负责做好事故发生地道路交通运输、管制工作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5" w:hRule="atLeast"/>
          <w:jc w:val="center"/>
        </w:trPr>
        <w:tc>
          <w:tcPr>
            <w:tcW w:w="960" w:type="dxa"/>
            <w:vMerge w:val="continue"/>
            <w:tcBorders>
              <w:tl2br w:val="nil"/>
              <w:tr2bl w:val="nil"/>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区消防救援大队</w:t>
            </w:r>
          </w:p>
        </w:tc>
        <w:tc>
          <w:tcPr>
            <w:tcW w:w="909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参与煤矿事故应急救援的处置工作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中国移动朔州朔城区分公司</w:t>
            </w:r>
          </w:p>
        </w:tc>
        <w:tc>
          <w:tcPr>
            <w:tcW w:w="909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负责做好煤矿企业事故抢险救援通信保障应急工作，确保事故救援过程中通信畅通。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中国联通朔州朔城区分公司</w:t>
            </w:r>
          </w:p>
        </w:tc>
        <w:tc>
          <w:tcPr>
            <w:tcW w:w="909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负责做好煤矿企业事故抢险救援通信保障应急工作，确保事故救援过程中通信畅通。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中国电信朔州朔城区分公司</w:t>
            </w:r>
          </w:p>
        </w:tc>
        <w:tc>
          <w:tcPr>
            <w:tcW w:w="909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负责做好煤矿企业事故抢险救援通信保障应急工作，确保事故救援过程中通信畅通。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jc w:val="center"/>
        </w:trPr>
        <w:tc>
          <w:tcPr>
            <w:tcW w:w="960" w:type="dxa"/>
            <w:vMerge w:val="continue"/>
            <w:tcBorders>
              <w:tl2br w:val="nil"/>
              <w:tr2bl w:val="nil"/>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1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省地电朔州分电公司</w:t>
            </w:r>
          </w:p>
        </w:tc>
        <w:tc>
          <w:tcPr>
            <w:tcW w:w="909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负责做好供电范围内煤矿事故抢险救援过程中的电力运行保障工作。</w:t>
            </w:r>
          </w:p>
        </w:tc>
      </w:tr>
    </w:tbl>
    <w:p>
      <w:pPr>
        <w:rPr>
          <w:rFonts w:hint="default" w:ascii="黑体" w:hAnsi="黑体" w:eastAsia="黑体" w:cs="黑体"/>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64D87"/>
    <w:rsid w:val="05C64D87"/>
    <w:rsid w:val="1CA4418A"/>
    <w:rsid w:val="24C26180"/>
    <w:rsid w:val="33BD7C2F"/>
    <w:rsid w:val="396B24F7"/>
    <w:rsid w:val="3AF503F3"/>
    <w:rsid w:val="4F8E119F"/>
    <w:rsid w:val="622F5CEF"/>
    <w:rsid w:val="6A94403E"/>
    <w:rsid w:val="6B5C3CA4"/>
    <w:rsid w:val="79D2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2021-10-25T07:48:00Z</dcterms:created>
  <dc:creator>yuchen</dc:creator>
  <cp:lastModifiedBy>yuchen</cp:lastModifiedBy>
  <dcterms:modified xsi:type="dcterms:W3CDTF">2021-10-25T07:50:10Z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73D4E594832B4CF5AA112E1DFF6A7BDA</vt:lpwstr>
  </property>
</Properties>
</file>